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64" w:rsidRPr="0048188A" w:rsidRDefault="00150B64" w:rsidP="00B24BBA">
      <w:pPr>
        <w:pStyle w:val="nielsenbodytext0"/>
        <w:spacing w:line="240" w:lineRule="auto"/>
        <w:rPr>
          <w:rFonts w:ascii="Open Sans" w:hAnsi="Open Sans" w:cs="Open Sans"/>
          <w:color w:val="009DD9"/>
          <w:sz w:val="40"/>
          <w:szCs w:val="28"/>
        </w:rPr>
      </w:pPr>
      <w:r w:rsidRPr="0048188A">
        <w:rPr>
          <w:rFonts w:ascii="Open Sans" w:hAnsi="Open Sans" w:cs="Open Sans"/>
          <w:color w:val="009DD9"/>
          <w:sz w:val="40"/>
          <w:szCs w:val="28"/>
        </w:rPr>
        <w:t>News Release</w:t>
      </w:r>
    </w:p>
    <w:p w:rsidR="00D351EE" w:rsidRDefault="00847B18" w:rsidP="00D351EE">
      <w:pPr>
        <w:tabs>
          <w:tab w:val="right" w:pos="720"/>
        </w:tabs>
        <w:spacing w:after="0"/>
        <w:rPr>
          <w:rFonts w:ascii="Open Sans" w:hAnsi="Open Sans" w:cs="Open Sans"/>
          <w:sz w:val="20"/>
          <w:szCs w:val="20"/>
          <w:lang w:val="en-AU"/>
        </w:rPr>
      </w:pPr>
      <w:r>
        <w:rPr>
          <w:rFonts w:ascii="Open Sans" w:hAnsi="Open Sans" w:cs="Open Sans"/>
          <w:sz w:val="20"/>
          <w:szCs w:val="20"/>
          <w:lang w:val="en-AU"/>
        </w:rPr>
        <w:t>Tran Le Thanh Van</w:t>
      </w:r>
      <w:r>
        <w:rPr>
          <w:rFonts w:ascii="Open Sans" w:hAnsi="Open Sans" w:cs="Open Sans"/>
          <w:sz w:val="20"/>
          <w:szCs w:val="20"/>
          <w:lang w:val="en-AU"/>
        </w:rPr>
        <w:tab/>
      </w:r>
      <w:r>
        <w:rPr>
          <w:rFonts w:ascii="Open Sans" w:hAnsi="Open Sans" w:cs="Open Sans"/>
          <w:sz w:val="20"/>
          <w:szCs w:val="20"/>
          <w:lang w:val="en-AU"/>
        </w:rPr>
        <w:tab/>
      </w:r>
      <w:r>
        <w:rPr>
          <w:rFonts w:ascii="Open Sans" w:hAnsi="Open Sans" w:cs="Open Sans"/>
          <w:sz w:val="20"/>
          <w:szCs w:val="20"/>
          <w:lang w:val="en-AU"/>
        </w:rPr>
        <w:tab/>
      </w:r>
      <w:r>
        <w:rPr>
          <w:rFonts w:ascii="Open Sans" w:hAnsi="Open Sans" w:cs="Open Sans"/>
          <w:sz w:val="20"/>
          <w:szCs w:val="20"/>
          <w:lang w:val="en-AU"/>
        </w:rPr>
        <w:tab/>
      </w:r>
      <w:r>
        <w:rPr>
          <w:rFonts w:ascii="Open Sans" w:hAnsi="Open Sans" w:cs="Open Sans"/>
          <w:sz w:val="20"/>
          <w:szCs w:val="20"/>
          <w:lang w:val="en-AU"/>
        </w:rPr>
        <w:tab/>
      </w:r>
      <w:r>
        <w:rPr>
          <w:rFonts w:ascii="Open Sans" w:hAnsi="Open Sans" w:cs="Open Sans"/>
          <w:sz w:val="20"/>
          <w:szCs w:val="20"/>
          <w:lang w:val="en-AU"/>
        </w:rPr>
        <w:tab/>
      </w:r>
      <w:r w:rsidR="00D351EE">
        <w:rPr>
          <w:rFonts w:ascii="Open Sans" w:hAnsi="Open Sans" w:cs="Open Sans"/>
          <w:sz w:val="20"/>
          <w:szCs w:val="20"/>
          <w:lang w:val="en-AU"/>
        </w:rPr>
        <w:t xml:space="preserve">Nguyen Doan </w:t>
      </w:r>
      <w:proofErr w:type="spellStart"/>
      <w:r w:rsidR="00D351EE">
        <w:rPr>
          <w:rFonts w:ascii="Open Sans" w:hAnsi="Open Sans" w:cs="Open Sans"/>
          <w:sz w:val="20"/>
          <w:szCs w:val="20"/>
          <w:lang w:val="en-AU"/>
        </w:rPr>
        <w:t>Phuoc</w:t>
      </w:r>
      <w:proofErr w:type="spellEnd"/>
      <w:r w:rsidR="00D351EE">
        <w:rPr>
          <w:rFonts w:ascii="Open Sans" w:hAnsi="Open Sans" w:cs="Open Sans"/>
          <w:sz w:val="20"/>
          <w:szCs w:val="20"/>
          <w:lang w:val="en-AU"/>
        </w:rPr>
        <w:t xml:space="preserve"> </w:t>
      </w:r>
      <w:proofErr w:type="spellStart"/>
      <w:r w:rsidR="00D351EE">
        <w:rPr>
          <w:rFonts w:ascii="Open Sans" w:hAnsi="Open Sans" w:cs="Open Sans"/>
          <w:sz w:val="20"/>
          <w:szCs w:val="20"/>
          <w:lang w:val="en-AU"/>
        </w:rPr>
        <w:t>Duy</w:t>
      </w:r>
      <w:proofErr w:type="spellEnd"/>
      <w:r w:rsidR="00D351EE">
        <w:rPr>
          <w:rFonts w:ascii="Open Sans" w:hAnsi="Open Sans" w:cs="Open Sans"/>
          <w:sz w:val="20"/>
          <w:szCs w:val="20"/>
          <w:lang w:val="en-AU"/>
        </w:rPr>
        <w:tab/>
      </w:r>
    </w:p>
    <w:p w:rsidR="003A0107" w:rsidRPr="00C003E4" w:rsidRDefault="00166E90" w:rsidP="00D351EE">
      <w:pPr>
        <w:tabs>
          <w:tab w:val="right" w:pos="2340"/>
        </w:tabs>
        <w:spacing w:after="0"/>
        <w:rPr>
          <w:rFonts w:ascii="Open Sans" w:hAnsi="Open Sans" w:cs="Open Sans"/>
          <w:sz w:val="20"/>
          <w:szCs w:val="20"/>
          <w:lang w:val="en-AU"/>
        </w:rPr>
      </w:pPr>
      <w:hyperlink r:id="rId9" w:history="1">
        <w:r w:rsidR="00D351EE" w:rsidRPr="002866F6">
          <w:rPr>
            <w:rStyle w:val="Hyperlink"/>
            <w:rFonts w:ascii="Open Sans" w:hAnsi="Open Sans" w:cs="Open Sans"/>
            <w:sz w:val="20"/>
            <w:szCs w:val="20"/>
            <w:lang w:val="en-AU"/>
          </w:rPr>
          <w:t>Van.l.tran@nielsen.com</w:t>
        </w:r>
      </w:hyperlink>
      <w:r w:rsidR="00D351EE">
        <w:rPr>
          <w:rFonts w:ascii="Open Sans" w:hAnsi="Open Sans" w:cs="Open Sans"/>
          <w:sz w:val="20"/>
          <w:szCs w:val="20"/>
          <w:lang w:val="en-AU"/>
        </w:rPr>
        <w:t xml:space="preserve"> </w:t>
      </w:r>
      <w:r w:rsidR="00C003E4">
        <w:rPr>
          <w:rFonts w:ascii="Open Sans" w:hAnsi="Open Sans" w:cs="Open Sans"/>
          <w:sz w:val="20"/>
          <w:szCs w:val="20"/>
          <w:lang w:val="en-AU"/>
        </w:rPr>
        <w:t xml:space="preserve"> </w:t>
      </w:r>
      <w:r w:rsidR="00D351EE">
        <w:rPr>
          <w:rFonts w:ascii="Open Sans" w:hAnsi="Open Sans" w:cs="Open Sans"/>
          <w:sz w:val="20"/>
          <w:szCs w:val="20"/>
          <w:lang w:val="en-AU"/>
        </w:rPr>
        <w:tab/>
      </w:r>
      <w:r w:rsidR="00D351EE">
        <w:rPr>
          <w:rFonts w:ascii="Open Sans" w:hAnsi="Open Sans" w:cs="Open Sans"/>
          <w:sz w:val="20"/>
          <w:szCs w:val="20"/>
          <w:lang w:val="en-AU"/>
        </w:rPr>
        <w:tab/>
      </w:r>
      <w:r w:rsidR="00D351EE">
        <w:rPr>
          <w:rFonts w:ascii="Open Sans" w:hAnsi="Open Sans" w:cs="Open Sans"/>
          <w:sz w:val="20"/>
          <w:szCs w:val="20"/>
          <w:lang w:val="en-AU"/>
        </w:rPr>
        <w:tab/>
      </w:r>
      <w:r w:rsidR="00D351EE">
        <w:rPr>
          <w:rFonts w:ascii="Open Sans" w:hAnsi="Open Sans" w:cs="Open Sans"/>
          <w:sz w:val="20"/>
          <w:szCs w:val="20"/>
          <w:lang w:val="en-AU"/>
        </w:rPr>
        <w:tab/>
      </w:r>
      <w:r w:rsidR="00D351EE">
        <w:rPr>
          <w:rFonts w:ascii="Open Sans" w:hAnsi="Open Sans" w:cs="Open Sans"/>
          <w:sz w:val="20"/>
          <w:szCs w:val="20"/>
          <w:lang w:val="en-AU"/>
        </w:rPr>
        <w:tab/>
      </w:r>
      <w:r w:rsidR="00D351EE">
        <w:rPr>
          <w:rFonts w:ascii="Open Sans" w:hAnsi="Open Sans" w:cs="Open Sans"/>
          <w:sz w:val="20"/>
          <w:szCs w:val="20"/>
          <w:lang w:val="en-AU"/>
        </w:rPr>
        <w:tab/>
      </w:r>
      <w:hyperlink r:id="rId10" w:history="1">
        <w:r w:rsidR="00D351EE" w:rsidRPr="002866F6">
          <w:rPr>
            <w:rStyle w:val="Hyperlink"/>
            <w:rFonts w:ascii="Open Sans" w:hAnsi="Open Sans" w:cs="Open Sans"/>
            <w:sz w:val="20"/>
            <w:szCs w:val="20"/>
            <w:lang w:val="en-AU"/>
          </w:rPr>
          <w:t>duy.d.nguyen@nielsen.com</w:t>
        </w:r>
      </w:hyperlink>
      <w:r w:rsidR="00D351EE">
        <w:rPr>
          <w:rFonts w:ascii="Open Sans" w:hAnsi="Open Sans" w:cs="Open Sans"/>
          <w:sz w:val="20"/>
          <w:szCs w:val="20"/>
          <w:lang w:val="en-AU"/>
        </w:rPr>
        <w:t xml:space="preserve"> </w:t>
      </w:r>
    </w:p>
    <w:p w:rsidR="00E326C1" w:rsidRDefault="00E326C1" w:rsidP="00DF18DA">
      <w:pPr>
        <w:pStyle w:val="ListParagraph"/>
        <w:spacing w:after="0" w:line="240" w:lineRule="auto"/>
        <w:jc w:val="center"/>
        <w:rPr>
          <w:rFonts w:ascii="Open Sans" w:hAnsi="Open Sans" w:cs="Open Sans"/>
          <w:b/>
          <w:sz w:val="32"/>
          <w:szCs w:val="28"/>
        </w:rPr>
      </w:pPr>
    </w:p>
    <w:p w:rsidR="005E7B48" w:rsidRDefault="00F01EF4" w:rsidP="005E7B48">
      <w:pPr>
        <w:pStyle w:val="ListParagraph"/>
        <w:spacing w:after="0" w:line="240" w:lineRule="auto"/>
        <w:jc w:val="center"/>
        <w:rPr>
          <w:rFonts w:ascii="Open Sans Semibold" w:hAnsi="Open Sans Semibold" w:cs="Open Sans Semibold"/>
          <w:sz w:val="32"/>
          <w:szCs w:val="28"/>
        </w:rPr>
      </w:pPr>
      <w:r w:rsidRPr="005E7B48">
        <w:rPr>
          <w:rFonts w:ascii="Open Sans Semibold" w:hAnsi="Open Sans Semibold" w:cs="Open Sans Semibold"/>
          <w:sz w:val="32"/>
          <w:szCs w:val="28"/>
        </w:rPr>
        <w:t>FMCG</w:t>
      </w:r>
      <w:r w:rsidR="00844193" w:rsidRPr="005E7B48">
        <w:rPr>
          <w:rFonts w:ascii="Open Sans Semibold" w:hAnsi="Open Sans Semibold" w:cs="Open Sans Semibold"/>
          <w:sz w:val="32"/>
          <w:szCs w:val="28"/>
        </w:rPr>
        <w:t xml:space="preserve"> </w:t>
      </w:r>
      <w:r w:rsidR="005E7B48" w:rsidRPr="005E7B48">
        <w:rPr>
          <w:rFonts w:ascii="Open Sans Semibold" w:hAnsi="Open Sans Semibold" w:cs="Open Sans Semibold"/>
          <w:sz w:val="32"/>
          <w:szCs w:val="28"/>
        </w:rPr>
        <w:t>GROWTH</w:t>
      </w:r>
      <w:r w:rsidR="005E7B48">
        <w:rPr>
          <w:rFonts w:ascii="Open Sans Semibold" w:hAnsi="Open Sans Semibold" w:cs="Open Sans Semibold"/>
          <w:sz w:val="32"/>
          <w:szCs w:val="28"/>
        </w:rPr>
        <w:t xml:space="preserve"> GAINS MOMENTUM</w:t>
      </w:r>
    </w:p>
    <w:p w:rsidR="005E7B48" w:rsidRDefault="005E7B48" w:rsidP="005E7B48">
      <w:pPr>
        <w:pStyle w:val="ListParagraph"/>
        <w:spacing w:after="0" w:line="240" w:lineRule="auto"/>
        <w:jc w:val="center"/>
        <w:rPr>
          <w:rFonts w:ascii="Open Sans Semibold" w:hAnsi="Open Sans Semibold" w:cs="Open Sans Semibold"/>
          <w:sz w:val="32"/>
          <w:szCs w:val="28"/>
        </w:rPr>
      </w:pPr>
      <w:r w:rsidRPr="005E7B48">
        <w:rPr>
          <w:rFonts w:ascii="Open Sans Semibold" w:hAnsi="Open Sans Semibold" w:cs="Open Sans Semibold"/>
          <w:sz w:val="32"/>
          <w:szCs w:val="28"/>
        </w:rPr>
        <w:t>IN THE THIRD QUARTER OF 2017</w:t>
      </w:r>
      <w:r>
        <w:rPr>
          <w:rFonts w:ascii="Open Sans Semibold" w:hAnsi="Open Sans Semibold" w:cs="Open Sans Semibold"/>
          <w:sz w:val="32"/>
          <w:szCs w:val="28"/>
        </w:rPr>
        <w:t>,</w:t>
      </w:r>
    </w:p>
    <w:p w:rsidR="00F73379" w:rsidRPr="005E7B48" w:rsidRDefault="005E7B48" w:rsidP="005E7B48">
      <w:pPr>
        <w:pStyle w:val="ListParagraph"/>
        <w:spacing w:after="0" w:line="240" w:lineRule="auto"/>
        <w:jc w:val="center"/>
        <w:rPr>
          <w:rFonts w:ascii="Open Sans Semibold" w:hAnsi="Open Sans Semibold" w:cs="Open Sans Semibold"/>
          <w:sz w:val="28"/>
          <w:szCs w:val="28"/>
        </w:rPr>
      </w:pPr>
      <w:r w:rsidRPr="005E7B48">
        <w:rPr>
          <w:rFonts w:ascii="Open Sans Semibold" w:hAnsi="Open Sans Semibold" w:cs="Open Sans Semibold"/>
          <w:sz w:val="32"/>
          <w:szCs w:val="28"/>
        </w:rPr>
        <w:t>HOWEVER THE MARKET STILL SHOWS VULNERABILITY</w:t>
      </w:r>
    </w:p>
    <w:p w:rsidR="00227D43" w:rsidRPr="0048188A" w:rsidRDefault="00227D43" w:rsidP="00227D43">
      <w:pPr>
        <w:pStyle w:val="ListParagraph"/>
        <w:spacing w:after="0" w:line="240" w:lineRule="auto"/>
        <w:jc w:val="center"/>
        <w:rPr>
          <w:rFonts w:ascii="Open Sans" w:eastAsia="Calibri" w:hAnsi="Open Sans" w:cs="Open Sans"/>
          <w:b/>
        </w:rPr>
      </w:pPr>
    </w:p>
    <w:p w:rsidR="00FD04DF" w:rsidRPr="0048188A" w:rsidRDefault="00150B64" w:rsidP="00922844">
      <w:pPr>
        <w:pStyle w:val="Body"/>
        <w:spacing w:after="240"/>
        <w:jc w:val="both"/>
        <w:rPr>
          <w:rFonts w:ascii="Open Sans" w:eastAsia="Calibri" w:hAnsi="Open Sans" w:cs="Open Sans"/>
          <w:sz w:val="20"/>
          <w:szCs w:val="22"/>
        </w:rPr>
      </w:pPr>
      <w:r w:rsidRPr="00166E90">
        <w:rPr>
          <w:rFonts w:ascii="Open Sans" w:eastAsia="Calibri" w:hAnsi="Open Sans" w:cs="Open Sans"/>
          <w:b/>
          <w:sz w:val="20"/>
          <w:szCs w:val="22"/>
        </w:rPr>
        <w:t>Vietnam</w:t>
      </w:r>
      <w:r w:rsidR="00E326C1" w:rsidRPr="00166E90">
        <w:rPr>
          <w:rFonts w:ascii="Open Sans" w:eastAsia="Calibri" w:hAnsi="Open Sans" w:cs="Open Sans"/>
          <w:b/>
          <w:sz w:val="20"/>
          <w:szCs w:val="22"/>
        </w:rPr>
        <w:t xml:space="preserve"> </w:t>
      </w:r>
      <w:r w:rsidR="00166E90">
        <w:rPr>
          <w:rFonts w:ascii="Open Sans" w:eastAsia="Calibri" w:hAnsi="Open Sans" w:cs="Open Sans"/>
          <w:b/>
          <w:sz w:val="20"/>
          <w:szCs w:val="22"/>
        </w:rPr>
        <w:t>05 Dec</w:t>
      </w:r>
      <w:r w:rsidR="00377F27" w:rsidRPr="00166E90">
        <w:rPr>
          <w:rFonts w:ascii="Open Sans" w:eastAsia="Calibri" w:hAnsi="Open Sans" w:cs="Open Sans"/>
          <w:b/>
          <w:sz w:val="20"/>
          <w:szCs w:val="22"/>
        </w:rPr>
        <w:t>, 201</w:t>
      </w:r>
      <w:r w:rsidR="00B24BBA" w:rsidRPr="00166E90">
        <w:rPr>
          <w:rFonts w:ascii="Open Sans" w:eastAsia="Calibri" w:hAnsi="Open Sans" w:cs="Open Sans"/>
          <w:b/>
          <w:sz w:val="20"/>
          <w:szCs w:val="22"/>
        </w:rPr>
        <w:t>7</w:t>
      </w:r>
      <w:r w:rsidR="00B969FA" w:rsidRPr="0048188A">
        <w:rPr>
          <w:rFonts w:ascii="Open Sans" w:eastAsia="Calibri" w:hAnsi="Open Sans" w:cs="Open Sans"/>
          <w:sz w:val="20"/>
          <w:szCs w:val="22"/>
        </w:rPr>
        <w:t xml:space="preserve"> </w:t>
      </w:r>
      <w:r w:rsidR="00377F27" w:rsidRPr="0048188A">
        <w:rPr>
          <w:rFonts w:ascii="Open Sans" w:eastAsia="Calibri" w:hAnsi="Open Sans" w:cs="Open Sans"/>
          <w:sz w:val="20"/>
          <w:szCs w:val="22"/>
        </w:rPr>
        <w:t>–</w:t>
      </w:r>
      <w:r w:rsidR="006F40C4" w:rsidRPr="0048188A">
        <w:rPr>
          <w:rFonts w:ascii="Open Sans" w:eastAsia="Calibri" w:hAnsi="Open Sans" w:cs="Open Sans"/>
          <w:sz w:val="20"/>
          <w:szCs w:val="22"/>
        </w:rPr>
        <w:t xml:space="preserve"> </w:t>
      </w:r>
      <w:r w:rsidR="00342876" w:rsidRPr="0048188A">
        <w:rPr>
          <w:rFonts w:ascii="Open Sans" w:eastAsia="Calibri" w:hAnsi="Open Sans" w:cs="Open Sans"/>
          <w:sz w:val="20"/>
          <w:szCs w:val="22"/>
        </w:rPr>
        <w:t>The nationwide growth of FMCG</w:t>
      </w:r>
      <w:r w:rsidR="00407B9B">
        <w:rPr>
          <w:rFonts w:ascii="Open Sans" w:eastAsia="Calibri" w:hAnsi="Open Sans" w:cs="Open Sans"/>
          <w:sz w:val="20"/>
          <w:szCs w:val="22"/>
        </w:rPr>
        <w:t xml:space="preserve"> </w:t>
      </w:r>
      <w:r w:rsidR="00342876" w:rsidRPr="0048188A">
        <w:rPr>
          <w:rFonts w:ascii="Open Sans" w:eastAsia="Calibri" w:hAnsi="Open Sans" w:cs="Open Sans"/>
          <w:sz w:val="20"/>
          <w:szCs w:val="22"/>
        </w:rPr>
        <w:t xml:space="preserve">in the </w:t>
      </w:r>
      <w:r w:rsidR="00407B9B">
        <w:rPr>
          <w:rFonts w:ascii="Open Sans" w:eastAsia="Calibri" w:hAnsi="Open Sans" w:cs="Open Sans"/>
          <w:sz w:val="20"/>
          <w:szCs w:val="22"/>
        </w:rPr>
        <w:t>third</w:t>
      </w:r>
      <w:r w:rsidR="00342876" w:rsidRPr="0048188A">
        <w:rPr>
          <w:rFonts w:ascii="Open Sans" w:eastAsia="Calibri" w:hAnsi="Open Sans" w:cs="Open Sans"/>
          <w:sz w:val="20"/>
          <w:szCs w:val="22"/>
        </w:rPr>
        <w:t xml:space="preserve"> quarter of the year</w:t>
      </w:r>
      <w:r w:rsidR="00407B9B">
        <w:rPr>
          <w:rFonts w:ascii="Open Sans" w:eastAsia="Calibri" w:hAnsi="Open Sans" w:cs="Open Sans"/>
          <w:sz w:val="20"/>
          <w:szCs w:val="22"/>
        </w:rPr>
        <w:t xml:space="preserve"> bounced back</w:t>
      </w:r>
      <w:r w:rsidR="00342876" w:rsidRPr="0048188A">
        <w:rPr>
          <w:rFonts w:ascii="Open Sans" w:eastAsia="Calibri" w:hAnsi="Open Sans" w:cs="Open Sans"/>
          <w:sz w:val="20"/>
          <w:szCs w:val="22"/>
        </w:rPr>
        <w:t xml:space="preserve">, after </w:t>
      </w:r>
      <w:r w:rsidR="00407B9B">
        <w:rPr>
          <w:rFonts w:ascii="Open Sans" w:eastAsia="Calibri" w:hAnsi="Open Sans" w:cs="Open Sans"/>
          <w:sz w:val="20"/>
          <w:szCs w:val="22"/>
        </w:rPr>
        <w:t>taking a dip</w:t>
      </w:r>
      <w:r w:rsidR="00342876" w:rsidRPr="0048188A">
        <w:rPr>
          <w:rFonts w:ascii="Open Sans" w:eastAsia="Calibri" w:hAnsi="Open Sans" w:cs="Open Sans"/>
          <w:sz w:val="20"/>
          <w:szCs w:val="22"/>
        </w:rPr>
        <w:t xml:space="preserve"> in the previous quarter. This quarter, the nationwide FMCG reach</w:t>
      </w:r>
      <w:r w:rsidR="00FC67F9" w:rsidRPr="0048188A">
        <w:rPr>
          <w:rFonts w:ascii="Open Sans" w:eastAsia="Calibri" w:hAnsi="Open Sans" w:cs="Open Sans"/>
          <w:sz w:val="20"/>
          <w:szCs w:val="22"/>
        </w:rPr>
        <w:t>ed</w:t>
      </w:r>
      <w:r w:rsidR="00342876" w:rsidRPr="0048188A">
        <w:rPr>
          <w:rFonts w:ascii="Open Sans" w:eastAsia="Calibri" w:hAnsi="Open Sans" w:cs="Open Sans"/>
          <w:sz w:val="20"/>
          <w:szCs w:val="22"/>
        </w:rPr>
        <w:t xml:space="preserve"> </w:t>
      </w:r>
      <w:r w:rsidR="00407B9B">
        <w:rPr>
          <w:rFonts w:ascii="Open Sans" w:eastAsia="Calibri" w:hAnsi="Open Sans" w:cs="Open Sans"/>
          <w:sz w:val="20"/>
          <w:szCs w:val="22"/>
        </w:rPr>
        <w:t>6.4</w:t>
      </w:r>
      <w:r w:rsidR="00342876" w:rsidRPr="0048188A">
        <w:rPr>
          <w:rFonts w:ascii="Open Sans" w:eastAsia="Calibri" w:hAnsi="Open Sans" w:cs="Open Sans"/>
          <w:sz w:val="20"/>
          <w:szCs w:val="22"/>
        </w:rPr>
        <w:t>% versus one year ago</w:t>
      </w:r>
      <w:bookmarkStart w:id="0" w:name="_GoBack"/>
      <w:bookmarkEnd w:id="0"/>
      <w:r w:rsidR="00342876" w:rsidRPr="0048188A">
        <w:rPr>
          <w:rFonts w:ascii="Open Sans" w:eastAsia="Calibri" w:hAnsi="Open Sans" w:cs="Open Sans"/>
          <w:sz w:val="20"/>
          <w:szCs w:val="22"/>
        </w:rPr>
        <w:t xml:space="preserve">, mainly </w:t>
      </w:r>
      <w:r w:rsidR="00407B9B">
        <w:rPr>
          <w:rFonts w:ascii="Open Sans" w:eastAsia="Calibri" w:hAnsi="Open Sans" w:cs="Open Sans"/>
          <w:sz w:val="20"/>
          <w:szCs w:val="22"/>
        </w:rPr>
        <w:t>comes from</w:t>
      </w:r>
      <w:r w:rsidR="00342876" w:rsidRPr="0048188A">
        <w:rPr>
          <w:rFonts w:ascii="Open Sans" w:eastAsia="Calibri" w:hAnsi="Open Sans" w:cs="Open Sans"/>
          <w:sz w:val="20"/>
          <w:szCs w:val="22"/>
        </w:rPr>
        <w:t xml:space="preserve"> an increase of 5</w:t>
      </w:r>
      <w:r w:rsidR="00407B9B">
        <w:rPr>
          <w:rFonts w:ascii="Open Sans" w:eastAsia="Calibri" w:hAnsi="Open Sans" w:cs="Open Sans"/>
          <w:sz w:val="20"/>
          <w:szCs w:val="22"/>
        </w:rPr>
        <w:t>.8</w:t>
      </w:r>
      <w:r w:rsidR="00342876" w:rsidRPr="0048188A">
        <w:rPr>
          <w:rFonts w:ascii="Open Sans" w:eastAsia="Calibri" w:hAnsi="Open Sans" w:cs="Open Sans"/>
          <w:sz w:val="20"/>
          <w:szCs w:val="22"/>
        </w:rPr>
        <w:t>% volume growth (see chart 1), according to the Nielsen Quarterly Market Pulse report released by Nielsen Vietnam - the global performance measurement company.</w:t>
      </w:r>
    </w:p>
    <w:p w:rsidR="00F449BE" w:rsidRDefault="00407B9B" w:rsidP="00922844">
      <w:pPr>
        <w:pStyle w:val="Body"/>
        <w:jc w:val="both"/>
        <w:rPr>
          <w:rFonts w:ascii="Open Sans" w:eastAsia="Calibri" w:hAnsi="Open Sans" w:cs="Open Sans"/>
          <w:sz w:val="20"/>
          <w:szCs w:val="22"/>
          <w:lang w:val="en-CA"/>
        </w:rPr>
      </w:pPr>
      <w:r w:rsidRPr="00407B9B">
        <w:rPr>
          <w:rFonts w:ascii="Open Sans" w:eastAsia="Calibri" w:hAnsi="Open Sans" w:cs="Open Sans"/>
          <w:sz w:val="20"/>
          <w:szCs w:val="22"/>
          <w:lang w:val="en-CA"/>
        </w:rPr>
        <w:t>According to the report</w:t>
      </w:r>
      <w:r>
        <w:rPr>
          <w:rFonts w:ascii="Open Sans" w:eastAsia="Calibri" w:hAnsi="Open Sans" w:cs="Open Sans"/>
          <w:sz w:val="20"/>
          <w:szCs w:val="22"/>
          <w:lang w:val="en-CA"/>
        </w:rPr>
        <w:t>,</w:t>
      </w:r>
      <w:r w:rsidRPr="00407B9B">
        <w:rPr>
          <w:rFonts w:ascii="Open Sans" w:eastAsia="Calibri" w:hAnsi="Open Sans" w:cs="Open Sans"/>
          <w:sz w:val="20"/>
          <w:szCs w:val="22"/>
          <w:lang w:val="en-CA"/>
        </w:rPr>
        <w:t xml:space="preserve"> </w:t>
      </w:r>
      <w:r>
        <w:rPr>
          <w:rFonts w:ascii="Open Sans" w:eastAsia="Calibri" w:hAnsi="Open Sans" w:cs="Open Sans"/>
          <w:sz w:val="20"/>
          <w:szCs w:val="22"/>
          <w:lang w:val="en-CA"/>
        </w:rPr>
        <w:t>w</w:t>
      </w:r>
      <w:r w:rsidR="003137F0" w:rsidRPr="0048188A">
        <w:rPr>
          <w:rFonts w:ascii="Open Sans" w:eastAsia="Calibri" w:hAnsi="Open Sans" w:cs="Open Sans"/>
          <w:sz w:val="20"/>
          <w:szCs w:val="22"/>
          <w:lang w:val="en-CA"/>
        </w:rPr>
        <w:t>hen looki</w:t>
      </w:r>
      <w:r w:rsidR="00675C4F" w:rsidRPr="0048188A">
        <w:rPr>
          <w:rFonts w:ascii="Open Sans" w:eastAsia="Calibri" w:hAnsi="Open Sans" w:cs="Open Sans"/>
          <w:sz w:val="20"/>
          <w:szCs w:val="22"/>
          <w:lang w:val="en-CA"/>
        </w:rPr>
        <w:t xml:space="preserve">ng deeper into </w:t>
      </w:r>
      <w:r w:rsidR="00BC0058" w:rsidRPr="0048188A">
        <w:rPr>
          <w:rFonts w:ascii="Open Sans" w:eastAsia="Calibri" w:hAnsi="Open Sans" w:cs="Open Sans"/>
          <w:sz w:val="20"/>
          <w:szCs w:val="22"/>
          <w:lang w:val="en-CA"/>
        </w:rPr>
        <w:t>six</w:t>
      </w:r>
      <w:r w:rsidR="00675C4F" w:rsidRPr="0048188A">
        <w:rPr>
          <w:rFonts w:ascii="Open Sans" w:eastAsia="Calibri" w:hAnsi="Open Sans" w:cs="Open Sans"/>
          <w:sz w:val="20"/>
          <w:szCs w:val="22"/>
          <w:lang w:val="en-CA"/>
        </w:rPr>
        <w:t xml:space="preserve"> super FMCG</w:t>
      </w:r>
      <w:r w:rsidR="003137F0" w:rsidRPr="0048188A">
        <w:rPr>
          <w:rFonts w:ascii="Open Sans" w:eastAsia="Calibri" w:hAnsi="Open Sans" w:cs="Open Sans"/>
          <w:sz w:val="20"/>
          <w:szCs w:val="22"/>
          <w:lang w:val="en-CA"/>
        </w:rPr>
        <w:t xml:space="preserve"> categories</w:t>
      </w:r>
      <w:r w:rsidR="00BC0058" w:rsidRPr="0048188A">
        <w:rPr>
          <w:rFonts w:ascii="Open Sans" w:eastAsia="Calibri" w:hAnsi="Open Sans" w:cs="Open Sans"/>
          <w:sz w:val="20"/>
          <w:szCs w:val="22"/>
          <w:lang w:val="en-CA"/>
        </w:rPr>
        <w:t xml:space="preserve"> nationwide</w:t>
      </w:r>
      <w:r w:rsidR="003137F0" w:rsidRPr="0048188A">
        <w:rPr>
          <w:rFonts w:ascii="Open Sans" w:eastAsia="Calibri" w:hAnsi="Open Sans" w:cs="Open Sans"/>
          <w:sz w:val="20"/>
          <w:szCs w:val="22"/>
          <w:lang w:val="en-CA"/>
        </w:rPr>
        <w:t xml:space="preserve"> (</w:t>
      </w:r>
      <w:r w:rsidR="003137F0" w:rsidRPr="0048188A">
        <w:rPr>
          <w:rFonts w:ascii="Open Sans" w:eastAsia="Calibri" w:hAnsi="Open Sans" w:cs="Open Sans"/>
          <w:color w:val="000000" w:themeColor="text1"/>
          <w:sz w:val="20"/>
          <w:szCs w:val="22"/>
        </w:rPr>
        <w:t>beverage</w:t>
      </w:r>
      <w:r w:rsidR="003137F0" w:rsidRPr="0048188A">
        <w:rPr>
          <w:rStyle w:val="FootnoteReference"/>
          <w:rFonts w:ascii="Open Sans" w:eastAsia="Calibri" w:hAnsi="Open Sans" w:cs="Open Sans"/>
          <w:color w:val="000000" w:themeColor="text1"/>
          <w:sz w:val="20"/>
          <w:szCs w:val="22"/>
        </w:rPr>
        <w:footnoteReference w:id="1"/>
      </w:r>
      <w:r w:rsidR="003137F0" w:rsidRPr="0048188A">
        <w:rPr>
          <w:rFonts w:ascii="Open Sans" w:eastAsia="Calibri" w:hAnsi="Open Sans" w:cs="Open Sans"/>
          <w:color w:val="000000" w:themeColor="text1"/>
          <w:sz w:val="20"/>
          <w:szCs w:val="22"/>
        </w:rPr>
        <w:t xml:space="preserve"> - including beer, food</w:t>
      </w:r>
      <w:r w:rsidR="003137F0" w:rsidRPr="0048188A">
        <w:rPr>
          <w:rStyle w:val="FootnoteReference"/>
          <w:rFonts w:ascii="Open Sans" w:eastAsia="Calibri" w:hAnsi="Open Sans" w:cs="Open Sans"/>
          <w:color w:val="000000" w:themeColor="text1"/>
          <w:sz w:val="20"/>
          <w:szCs w:val="22"/>
        </w:rPr>
        <w:footnoteReference w:id="2"/>
      </w:r>
      <w:r w:rsidR="003137F0" w:rsidRPr="0048188A">
        <w:rPr>
          <w:rFonts w:ascii="Open Sans" w:eastAsia="Calibri" w:hAnsi="Open Sans" w:cs="Open Sans"/>
          <w:color w:val="000000" w:themeColor="text1"/>
          <w:sz w:val="20"/>
          <w:szCs w:val="22"/>
        </w:rPr>
        <w:t>, milk base</w:t>
      </w:r>
      <w:r w:rsidR="003137F0" w:rsidRPr="0048188A">
        <w:rPr>
          <w:rStyle w:val="FootnoteReference"/>
          <w:rFonts w:ascii="Open Sans" w:eastAsia="Calibri" w:hAnsi="Open Sans" w:cs="Open Sans"/>
          <w:color w:val="000000" w:themeColor="text1"/>
          <w:sz w:val="20"/>
          <w:szCs w:val="22"/>
        </w:rPr>
        <w:footnoteReference w:id="3"/>
      </w:r>
      <w:r w:rsidR="003137F0" w:rsidRPr="0048188A">
        <w:rPr>
          <w:rFonts w:ascii="Open Sans" w:eastAsia="Calibri" w:hAnsi="Open Sans" w:cs="Open Sans"/>
          <w:color w:val="000000" w:themeColor="text1"/>
          <w:sz w:val="20"/>
          <w:szCs w:val="22"/>
        </w:rPr>
        <w:t>, household care</w:t>
      </w:r>
      <w:r w:rsidR="003137F0" w:rsidRPr="0048188A">
        <w:rPr>
          <w:rStyle w:val="FootnoteReference"/>
          <w:rFonts w:ascii="Open Sans" w:eastAsia="Calibri" w:hAnsi="Open Sans" w:cs="Open Sans"/>
          <w:color w:val="000000" w:themeColor="text1"/>
          <w:sz w:val="20"/>
          <w:szCs w:val="22"/>
        </w:rPr>
        <w:footnoteReference w:id="4"/>
      </w:r>
      <w:r w:rsidR="003137F0" w:rsidRPr="0048188A">
        <w:rPr>
          <w:rFonts w:ascii="Open Sans" w:eastAsia="Calibri" w:hAnsi="Open Sans" w:cs="Open Sans"/>
          <w:color w:val="000000" w:themeColor="text1"/>
          <w:sz w:val="20"/>
          <w:szCs w:val="22"/>
        </w:rPr>
        <w:t>, personal care</w:t>
      </w:r>
      <w:r w:rsidR="003137F0" w:rsidRPr="0048188A">
        <w:rPr>
          <w:rStyle w:val="FootnoteReference"/>
          <w:rFonts w:ascii="Open Sans" w:eastAsia="Calibri" w:hAnsi="Open Sans" w:cs="Open Sans"/>
          <w:color w:val="000000" w:themeColor="text1"/>
          <w:sz w:val="20"/>
          <w:szCs w:val="22"/>
        </w:rPr>
        <w:footnoteReference w:id="5"/>
      </w:r>
      <w:r w:rsidR="00BC0058" w:rsidRPr="0048188A">
        <w:rPr>
          <w:rFonts w:ascii="Open Sans" w:eastAsia="Calibri" w:hAnsi="Open Sans" w:cs="Open Sans"/>
          <w:color w:val="000000" w:themeColor="text1"/>
          <w:sz w:val="20"/>
          <w:szCs w:val="22"/>
        </w:rPr>
        <w:t xml:space="preserve"> and</w:t>
      </w:r>
      <w:r w:rsidR="003137F0" w:rsidRPr="0048188A">
        <w:rPr>
          <w:rFonts w:ascii="Open Sans" w:eastAsia="Calibri" w:hAnsi="Open Sans" w:cs="Open Sans"/>
          <w:color w:val="000000" w:themeColor="text1"/>
          <w:sz w:val="20"/>
          <w:szCs w:val="22"/>
        </w:rPr>
        <w:t xml:space="preserve"> cigarettes)</w:t>
      </w:r>
      <w:r w:rsidR="003137F0" w:rsidRPr="0048188A">
        <w:rPr>
          <w:rFonts w:ascii="Open Sans" w:eastAsia="Calibri" w:hAnsi="Open Sans" w:cs="Open Sans"/>
          <w:sz w:val="20"/>
          <w:szCs w:val="22"/>
          <w:lang w:val="en-CA"/>
        </w:rPr>
        <w:t>,</w:t>
      </w:r>
      <w:r w:rsidR="00F449BE">
        <w:rPr>
          <w:rFonts w:ascii="Open Sans" w:eastAsia="Calibri" w:hAnsi="Open Sans" w:cs="Open Sans"/>
          <w:sz w:val="20"/>
          <w:szCs w:val="22"/>
          <w:lang w:val="en-CA"/>
        </w:rPr>
        <w:t xml:space="preserve"> beverage </w:t>
      </w:r>
      <w:r w:rsidR="00FB71E0">
        <w:rPr>
          <w:rFonts w:ascii="Open Sans" w:eastAsia="Calibri" w:hAnsi="Open Sans" w:cs="Open Sans"/>
          <w:sz w:val="20"/>
          <w:szCs w:val="22"/>
          <w:lang w:val="en-CA"/>
        </w:rPr>
        <w:t xml:space="preserve">enjoyed a big increase with </w:t>
      </w:r>
      <w:r w:rsidR="00FB71E0" w:rsidRPr="00FB71E0">
        <w:rPr>
          <w:rFonts w:ascii="Open Sans" w:eastAsia="Calibri" w:hAnsi="Open Sans" w:cs="Open Sans"/>
          <w:sz w:val="20"/>
          <w:szCs w:val="22"/>
          <w:lang w:val="en-CA"/>
        </w:rPr>
        <w:t xml:space="preserve">the highest growth rate </w:t>
      </w:r>
      <w:r w:rsidR="003D79A6">
        <w:rPr>
          <w:rFonts w:ascii="Open Sans" w:eastAsia="Calibri" w:hAnsi="Open Sans" w:cs="Open Sans"/>
          <w:sz w:val="20"/>
          <w:szCs w:val="22"/>
          <w:lang w:val="en-CA"/>
        </w:rPr>
        <w:t>at</w:t>
      </w:r>
      <w:r w:rsidR="00FB71E0" w:rsidRPr="00FB71E0">
        <w:rPr>
          <w:rFonts w:ascii="Open Sans" w:eastAsia="Calibri" w:hAnsi="Open Sans" w:cs="Open Sans"/>
          <w:sz w:val="20"/>
          <w:szCs w:val="22"/>
          <w:lang w:val="en-CA"/>
        </w:rPr>
        <w:t xml:space="preserve"> </w:t>
      </w:r>
      <w:r w:rsidR="00FB71E0">
        <w:rPr>
          <w:rFonts w:ascii="Open Sans" w:eastAsia="Calibri" w:hAnsi="Open Sans" w:cs="Open Sans"/>
          <w:sz w:val="20"/>
          <w:szCs w:val="22"/>
          <w:lang w:val="en-CA"/>
        </w:rPr>
        <w:t>8.5</w:t>
      </w:r>
      <w:r w:rsidR="00C43F65">
        <w:rPr>
          <w:rFonts w:ascii="Open Sans" w:eastAsia="Calibri" w:hAnsi="Open Sans" w:cs="Open Sans"/>
          <w:sz w:val="20"/>
          <w:szCs w:val="22"/>
          <w:lang w:val="en-CA"/>
        </w:rPr>
        <w:t>%</w:t>
      </w:r>
      <w:r w:rsidR="00A62BC4">
        <w:rPr>
          <w:rFonts w:ascii="Open Sans" w:eastAsia="Calibri" w:hAnsi="Open Sans" w:cs="Open Sans"/>
          <w:sz w:val="20"/>
          <w:szCs w:val="22"/>
          <w:lang w:val="en-CA"/>
        </w:rPr>
        <w:t>, led by an increase of 6.4% volume change</w:t>
      </w:r>
      <w:r w:rsidR="00FB71E0">
        <w:rPr>
          <w:rFonts w:ascii="Open Sans" w:eastAsia="Calibri" w:hAnsi="Open Sans" w:cs="Open Sans"/>
          <w:sz w:val="20"/>
          <w:szCs w:val="22"/>
          <w:lang w:val="en-CA"/>
        </w:rPr>
        <w:t xml:space="preserve">. Cigarette also showed the </w:t>
      </w:r>
      <w:r w:rsidR="00FB71E0" w:rsidRPr="0048188A">
        <w:rPr>
          <w:rFonts w:ascii="Open Sans" w:eastAsia="Calibri" w:hAnsi="Open Sans" w:cs="Open Sans"/>
          <w:sz w:val="20"/>
          <w:szCs w:val="22"/>
          <w:lang w:val="en-CA"/>
        </w:rPr>
        <w:t>positive growth in this quarter</w:t>
      </w:r>
      <w:r w:rsidR="00FB71E0">
        <w:rPr>
          <w:rFonts w:ascii="Open Sans" w:eastAsia="Calibri" w:hAnsi="Open Sans" w:cs="Open Sans"/>
          <w:sz w:val="20"/>
          <w:szCs w:val="22"/>
          <w:lang w:val="en-CA"/>
        </w:rPr>
        <w:t xml:space="preserve"> – 5.9%. </w:t>
      </w:r>
      <w:r w:rsidR="00FB71E0" w:rsidRPr="00FB71E0">
        <w:rPr>
          <w:rFonts w:ascii="Open Sans" w:eastAsia="Calibri" w:hAnsi="Open Sans" w:cs="Open Sans"/>
          <w:sz w:val="20"/>
          <w:szCs w:val="22"/>
          <w:lang w:val="en-CA"/>
        </w:rPr>
        <w:t>On the other hand, other super categories d</w:t>
      </w:r>
      <w:r w:rsidR="00CE7929">
        <w:rPr>
          <w:rFonts w:ascii="Open Sans" w:eastAsia="Calibri" w:hAnsi="Open Sans" w:cs="Open Sans"/>
          <w:sz w:val="20"/>
          <w:szCs w:val="22"/>
          <w:lang w:val="en-CA"/>
        </w:rPr>
        <w:t>idn’t</w:t>
      </w:r>
      <w:r w:rsidR="00FB71E0" w:rsidRPr="00FB71E0">
        <w:rPr>
          <w:rFonts w:ascii="Open Sans" w:eastAsia="Calibri" w:hAnsi="Open Sans" w:cs="Open Sans"/>
          <w:sz w:val="20"/>
          <w:szCs w:val="22"/>
          <w:lang w:val="en-CA"/>
        </w:rPr>
        <w:t xml:space="preserve"> show the same picture as </w:t>
      </w:r>
      <w:r w:rsidR="00991615">
        <w:rPr>
          <w:rFonts w:ascii="Open Sans" w:eastAsia="Calibri" w:hAnsi="Open Sans" w:cs="Open Sans"/>
          <w:sz w:val="20"/>
          <w:szCs w:val="22"/>
          <w:lang w:val="en-CA"/>
        </w:rPr>
        <w:t xml:space="preserve">these </w:t>
      </w:r>
      <w:r w:rsidR="00DD22CD">
        <w:rPr>
          <w:rFonts w:ascii="Open Sans" w:eastAsia="Calibri" w:hAnsi="Open Sans" w:cs="Open Sans"/>
          <w:sz w:val="20"/>
          <w:szCs w:val="22"/>
          <w:lang w:val="en-CA"/>
        </w:rPr>
        <w:t>categories</w:t>
      </w:r>
      <w:r w:rsidR="00316E78">
        <w:rPr>
          <w:rFonts w:ascii="Open Sans" w:eastAsia="Calibri" w:hAnsi="Open Sans" w:cs="Open Sans"/>
          <w:sz w:val="20"/>
          <w:szCs w:val="22"/>
          <w:lang w:val="en-CA"/>
        </w:rPr>
        <w:t xml:space="preserve">. Others </w:t>
      </w:r>
      <w:r w:rsidR="00FB71E0" w:rsidRPr="00FB71E0">
        <w:rPr>
          <w:rFonts w:ascii="Open Sans" w:eastAsia="Calibri" w:hAnsi="Open Sans" w:cs="Open Sans"/>
          <w:sz w:val="20"/>
          <w:szCs w:val="22"/>
          <w:lang w:val="en-CA"/>
        </w:rPr>
        <w:t>all show</w:t>
      </w:r>
      <w:r w:rsidR="007F069B">
        <w:rPr>
          <w:rFonts w:ascii="Open Sans" w:eastAsia="Calibri" w:hAnsi="Open Sans" w:cs="Open Sans"/>
          <w:sz w:val="20"/>
          <w:szCs w:val="22"/>
          <w:lang w:val="en-CA"/>
        </w:rPr>
        <w:t>ed</w:t>
      </w:r>
      <w:r w:rsidR="00FB71E0" w:rsidRPr="00FB71E0">
        <w:rPr>
          <w:rFonts w:ascii="Open Sans" w:eastAsia="Calibri" w:hAnsi="Open Sans" w:cs="Open Sans"/>
          <w:sz w:val="20"/>
          <w:szCs w:val="22"/>
          <w:lang w:val="en-CA"/>
        </w:rPr>
        <w:t xml:space="preserve"> the stagnancy (see chart 2).</w:t>
      </w:r>
    </w:p>
    <w:p w:rsidR="00407B9B" w:rsidRDefault="00407B9B" w:rsidP="00922844">
      <w:pPr>
        <w:pStyle w:val="Body"/>
        <w:jc w:val="both"/>
        <w:rPr>
          <w:rFonts w:ascii="Open Sans" w:eastAsia="Calibri" w:hAnsi="Open Sans" w:cs="Open Sans"/>
          <w:sz w:val="20"/>
          <w:szCs w:val="22"/>
          <w:lang w:val="en-CA"/>
        </w:rPr>
      </w:pPr>
    </w:p>
    <w:p w:rsidR="00407B9B" w:rsidRDefault="00407B9B" w:rsidP="00922844">
      <w:pPr>
        <w:pStyle w:val="Body"/>
        <w:jc w:val="both"/>
        <w:rPr>
          <w:rFonts w:ascii="Open Sans" w:eastAsia="Calibri" w:hAnsi="Open Sans" w:cs="Open Sans"/>
          <w:color w:val="000000" w:themeColor="text1"/>
          <w:sz w:val="20"/>
          <w:szCs w:val="22"/>
        </w:rPr>
      </w:pPr>
      <w:r w:rsidRPr="0048188A">
        <w:rPr>
          <w:rFonts w:ascii="Open Sans" w:eastAsia="Calibri" w:hAnsi="Open Sans" w:cs="Open Sans"/>
          <w:color w:val="000000" w:themeColor="text1"/>
          <w:sz w:val="20"/>
          <w:szCs w:val="22"/>
        </w:rPr>
        <w:t>Market Pulse Report is based on the results of Nielsen Retail Measurement study of FMCG, on the major categories. The Nielsen Retail Measurement provides continuous tracking of product movement through defined retail outlets. The data are used to measure manufacturer and retailer effort as well as consumer off-take.</w:t>
      </w:r>
    </w:p>
    <w:p w:rsidR="00D83265" w:rsidRDefault="00D83265" w:rsidP="00922844">
      <w:pPr>
        <w:pStyle w:val="Body"/>
        <w:jc w:val="both"/>
        <w:rPr>
          <w:rFonts w:ascii="Open Sans" w:eastAsia="Calibri" w:hAnsi="Open Sans" w:cs="Open Sans"/>
          <w:color w:val="000000" w:themeColor="text1"/>
          <w:sz w:val="20"/>
          <w:szCs w:val="22"/>
        </w:rPr>
      </w:pPr>
    </w:p>
    <w:p w:rsidR="00D83265" w:rsidRPr="0048188A" w:rsidRDefault="00D83265" w:rsidP="00922844">
      <w:pPr>
        <w:pStyle w:val="Body"/>
        <w:jc w:val="both"/>
        <w:rPr>
          <w:rFonts w:ascii="Open Sans" w:eastAsia="Calibri" w:hAnsi="Open Sans" w:cs="Open Sans"/>
          <w:sz w:val="20"/>
          <w:szCs w:val="22"/>
          <w:lang w:val="en-CA"/>
        </w:rPr>
      </w:pPr>
      <w:r w:rsidRPr="0048188A">
        <w:rPr>
          <w:rFonts w:ascii="Open Sans" w:eastAsia="Calibri" w:hAnsi="Open Sans" w:cs="Open Sans"/>
          <w:sz w:val="20"/>
          <w:szCs w:val="22"/>
          <w:lang w:val="en-CA"/>
        </w:rPr>
        <w:t xml:space="preserve">The report also shows that rural continue to be the highly potential land for many manufacturers. While urban has gained </w:t>
      </w:r>
      <w:r>
        <w:rPr>
          <w:rFonts w:ascii="Open Sans" w:eastAsia="Calibri" w:hAnsi="Open Sans" w:cs="Open Sans"/>
          <w:sz w:val="20"/>
          <w:szCs w:val="22"/>
          <w:lang w:val="en-CA"/>
        </w:rPr>
        <w:t>4.7</w:t>
      </w:r>
      <w:r w:rsidRPr="0048188A">
        <w:rPr>
          <w:rFonts w:ascii="Open Sans" w:eastAsia="Calibri" w:hAnsi="Open Sans" w:cs="Open Sans"/>
          <w:sz w:val="20"/>
          <w:szCs w:val="22"/>
          <w:lang w:val="en-CA"/>
        </w:rPr>
        <w:t xml:space="preserve">% growth this quarter compared to one year ago, rural has shown a stronger growth, up to </w:t>
      </w:r>
      <w:r>
        <w:rPr>
          <w:rFonts w:ascii="Open Sans" w:eastAsia="Calibri" w:hAnsi="Open Sans" w:cs="Open Sans"/>
          <w:sz w:val="20"/>
          <w:szCs w:val="22"/>
          <w:lang w:val="en-CA"/>
        </w:rPr>
        <w:t>7.6</w:t>
      </w:r>
      <w:r w:rsidRPr="0048188A">
        <w:rPr>
          <w:rFonts w:ascii="Open Sans" w:eastAsia="Calibri" w:hAnsi="Open Sans" w:cs="Open Sans"/>
          <w:sz w:val="20"/>
          <w:szCs w:val="22"/>
          <w:lang w:val="en-CA"/>
        </w:rPr>
        <w:t>%, mainly led by</w:t>
      </w:r>
      <w:r>
        <w:rPr>
          <w:rFonts w:ascii="Open Sans" w:eastAsia="Calibri" w:hAnsi="Open Sans" w:cs="Open Sans"/>
          <w:sz w:val="20"/>
          <w:szCs w:val="22"/>
          <w:lang w:val="en-CA"/>
        </w:rPr>
        <w:t xml:space="preserve"> 7.4%</w:t>
      </w:r>
      <w:r w:rsidRPr="0048188A">
        <w:rPr>
          <w:rFonts w:ascii="Open Sans" w:eastAsia="Calibri" w:hAnsi="Open Sans" w:cs="Open Sans"/>
          <w:sz w:val="20"/>
          <w:szCs w:val="22"/>
          <w:lang w:val="en-CA"/>
        </w:rPr>
        <w:t xml:space="preserve"> volume growth and contributed </w:t>
      </w:r>
      <w:r w:rsidR="00FC5482">
        <w:rPr>
          <w:rFonts w:ascii="Open Sans" w:eastAsia="Calibri" w:hAnsi="Open Sans" w:cs="Open Sans"/>
          <w:sz w:val="20"/>
          <w:szCs w:val="22"/>
          <w:lang w:val="en-CA"/>
        </w:rPr>
        <w:t>54%</w:t>
      </w:r>
      <w:r w:rsidRPr="0048188A">
        <w:rPr>
          <w:rFonts w:ascii="Open Sans" w:eastAsia="Calibri" w:hAnsi="Open Sans" w:cs="Open Sans"/>
          <w:sz w:val="20"/>
          <w:szCs w:val="22"/>
          <w:lang w:val="en-CA"/>
        </w:rPr>
        <w:t xml:space="preserve"> into the total FMCG sale. (See chart 3)</w:t>
      </w:r>
    </w:p>
    <w:p w:rsidR="00A1151A" w:rsidRDefault="00D5300F" w:rsidP="00040EC0">
      <w:pPr>
        <w:pStyle w:val="Body"/>
        <w:spacing w:before="240" w:after="240"/>
        <w:jc w:val="both"/>
        <w:rPr>
          <w:rFonts w:ascii="Open Sans" w:eastAsia="Calibri" w:hAnsi="Open Sans" w:cs="Open Sans"/>
          <w:sz w:val="20"/>
          <w:szCs w:val="22"/>
          <w:lang w:val="en-CA"/>
        </w:rPr>
      </w:pPr>
      <w:r w:rsidRPr="0048188A">
        <w:rPr>
          <w:rFonts w:ascii="Open Sans" w:eastAsia="Calibri" w:hAnsi="Open Sans" w:cs="Open Sans"/>
          <w:sz w:val="20"/>
          <w:szCs w:val="22"/>
          <w:lang w:val="en-CA"/>
        </w:rPr>
        <w:t>“</w:t>
      </w:r>
      <w:r w:rsidR="00316E78" w:rsidRPr="00316E78">
        <w:rPr>
          <w:rFonts w:ascii="Open Sans" w:eastAsia="Calibri" w:hAnsi="Open Sans" w:cs="Open Sans"/>
          <w:sz w:val="20"/>
          <w:szCs w:val="22"/>
          <w:lang w:val="en-CA"/>
        </w:rPr>
        <w:t xml:space="preserve">On the heels of improving consumer confidence in the recent quarter, Vietnam’s GDP grew </w:t>
      </w:r>
      <w:r w:rsidR="00316E78">
        <w:rPr>
          <w:rFonts w:ascii="Open Sans" w:eastAsia="Calibri" w:hAnsi="Open Sans" w:cs="Open Sans"/>
          <w:sz w:val="20"/>
          <w:szCs w:val="22"/>
          <w:lang w:val="en-CA"/>
        </w:rPr>
        <w:t>6.9</w:t>
      </w:r>
      <w:r w:rsidR="00316E78" w:rsidRPr="00316E78">
        <w:rPr>
          <w:rFonts w:ascii="Open Sans" w:eastAsia="Calibri" w:hAnsi="Open Sans" w:cs="Open Sans"/>
          <w:sz w:val="20"/>
          <w:szCs w:val="22"/>
          <w:lang w:val="en-CA"/>
        </w:rPr>
        <w:t xml:space="preserve">% </w:t>
      </w:r>
      <w:r w:rsidR="00316E78" w:rsidRPr="00062F03">
        <w:rPr>
          <w:rFonts w:ascii="Open Sans" w:eastAsia="Calibri" w:hAnsi="Open Sans" w:cs="Open Sans"/>
          <w:sz w:val="20"/>
          <w:szCs w:val="22"/>
          <w:lang w:val="en-CA"/>
        </w:rPr>
        <w:t>in the first nine months of the year</w:t>
      </w:r>
      <w:r w:rsidR="00316E78">
        <w:rPr>
          <w:rFonts w:ascii="Open Sans" w:eastAsia="Calibri" w:hAnsi="Open Sans" w:cs="Open Sans"/>
          <w:sz w:val="20"/>
          <w:szCs w:val="22"/>
          <w:lang w:val="en-CA"/>
        </w:rPr>
        <w:t>.</w:t>
      </w:r>
      <w:r w:rsidR="00062F03">
        <w:rPr>
          <w:rFonts w:ascii="Open Sans" w:eastAsia="Calibri" w:hAnsi="Open Sans" w:cs="Open Sans"/>
          <w:sz w:val="20"/>
          <w:szCs w:val="22"/>
          <w:lang w:val="en-CA"/>
        </w:rPr>
        <w:t xml:space="preserve"> </w:t>
      </w:r>
      <w:r w:rsidR="00A1151A" w:rsidRPr="00A1151A">
        <w:rPr>
          <w:rFonts w:ascii="Open Sans" w:eastAsia="Calibri" w:hAnsi="Open Sans" w:cs="Open Sans"/>
          <w:sz w:val="20"/>
          <w:szCs w:val="22"/>
          <w:lang w:val="en-CA"/>
        </w:rPr>
        <w:t xml:space="preserve">This momentum was enhanced by consumers' optimistic perception of personal finance </w:t>
      </w:r>
      <w:r w:rsidR="00A1151A">
        <w:rPr>
          <w:rFonts w:ascii="Open Sans" w:eastAsia="Calibri" w:hAnsi="Open Sans" w:cs="Open Sans"/>
          <w:sz w:val="20"/>
          <w:szCs w:val="22"/>
          <w:lang w:val="en-CA"/>
        </w:rPr>
        <w:t>along with their willingness to spend.</w:t>
      </w:r>
      <w:r w:rsidR="00B21ECE">
        <w:rPr>
          <w:rFonts w:ascii="Open Sans" w:eastAsia="Calibri" w:hAnsi="Open Sans" w:cs="Open Sans"/>
          <w:sz w:val="20"/>
          <w:szCs w:val="22"/>
          <w:lang w:val="en-CA"/>
        </w:rPr>
        <w:t xml:space="preserve"> </w:t>
      </w:r>
      <w:r w:rsidR="00B21ECE" w:rsidRPr="00B21ECE">
        <w:rPr>
          <w:rFonts w:ascii="Open Sans" w:eastAsia="Calibri" w:hAnsi="Open Sans" w:cs="Open Sans"/>
          <w:sz w:val="20"/>
          <w:szCs w:val="22"/>
          <w:lang w:val="en-CA"/>
        </w:rPr>
        <w:t>Despite the rise in GDP this year, Vietnam’s FMCG market has fluctuated over the past two years.</w:t>
      </w:r>
      <w:r w:rsidR="00A1151A">
        <w:rPr>
          <w:rFonts w:ascii="Open Sans" w:eastAsia="Calibri" w:hAnsi="Open Sans" w:cs="Open Sans"/>
          <w:sz w:val="20"/>
          <w:szCs w:val="22"/>
          <w:lang w:val="en-CA"/>
        </w:rPr>
        <w:t xml:space="preserve"> </w:t>
      </w:r>
      <w:r w:rsidR="00B21ECE">
        <w:rPr>
          <w:rFonts w:ascii="Open Sans" w:eastAsia="Calibri" w:hAnsi="Open Sans" w:cs="Open Sans"/>
          <w:sz w:val="20"/>
          <w:szCs w:val="22"/>
          <w:lang w:val="en-CA"/>
        </w:rPr>
        <w:t>T</w:t>
      </w:r>
      <w:r w:rsidR="00A1151A" w:rsidRPr="00A1151A">
        <w:rPr>
          <w:rFonts w:ascii="Open Sans" w:eastAsia="Calibri" w:hAnsi="Open Sans" w:cs="Open Sans"/>
          <w:sz w:val="20"/>
          <w:szCs w:val="22"/>
          <w:lang w:val="en-CA"/>
        </w:rPr>
        <w:t>he volatility</w:t>
      </w:r>
      <w:r w:rsidR="00A1151A">
        <w:rPr>
          <w:rFonts w:ascii="Open Sans" w:eastAsia="Calibri" w:hAnsi="Open Sans" w:cs="Open Sans"/>
          <w:sz w:val="20"/>
          <w:szCs w:val="22"/>
          <w:lang w:val="en-CA"/>
        </w:rPr>
        <w:t xml:space="preserve"> which is reflected in super categories</w:t>
      </w:r>
      <w:r w:rsidR="00A1151A" w:rsidRPr="00A1151A">
        <w:rPr>
          <w:rFonts w:ascii="Open Sans" w:eastAsia="Calibri" w:hAnsi="Open Sans" w:cs="Open Sans"/>
          <w:sz w:val="20"/>
          <w:szCs w:val="22"/>
          <w:lang w:val="en-CA"/>
        </w:rPr>
        <w:t xml:space="preserve"> puts a lot of challenges for the manufacturers to make sound decisions to fully seize the market growth opportunities and drive a profitable business</w:t>
      </w:r>
      <w:r w:rsidR="00A1151A">
        <w:rPr>
          <w:rFonts w:ascii="Open Sans" w:eastAsia="Calibri" w:hAnsi="Open Sans" w:cs="Open Sans"/>
          <w:sz w:val="20"/>
          <w:szCs w:val="22"/>
          <w:lang w:val="en-CA"/>
        </w:rPr>
        <w:t xml:space="preserve">” - </w:t>
      </w:r>
      <w:r w:rsidR="00D2083F" w:rsidRPr="00D2083F">
        <w:rPr>
          <w:rFonts w:ascii="Open Sans" w:eastAsia="Calibri" w:hAnsi="Open Sans" w:cs="Open Sans"/>
          <w:sz w:val="20"/>
          <w:szCs w:val="22"/>
          <w:lang w:val="en-CA"/>
        </w:rPr>
        <w:t xml:space="preserve">observed Nguyen Anh </w:t>
      </w:r>
      <w:proofErr w:type="spellStart"/>
      <w:r w:rsidR="00D2083F" w:rsidRPr="00D2083F">
        <w:rPr>
          <w:rFonts w:ascii="Open Sans" w:eastAsia="Calibri" w:hAnsi="Open Sans" w:cs="Open Sans"/>
          <w:sz w:val="20"/>
          <w:szCs w:val="22"/>
          <w:lang w:val="en-CA"/>
        </w:rPr>
        <w:t>Dzung</w:t>
      </w:r>
      <w:proofErr w:type="spellEnd"/>
      <w:r w:rsidR="00D2083F" w:rsidRPr="00D2083F">
        <w:rPr>
          <w:rFonts w:ascii="Open Sans" w:eastAsia="Calibri" w:hAnsi="Open Sans" w:cs="Open Sans"/>
          <w:sz w:val="20"/>
          <w:szCs w:val="22"/>
          <w:lang w:val="en-CA"/>
        </w:rPr>
        <w:t xml:space="preserve">, Director, Retail Measurement Services, </w:t>
      </w:r>
      <w:proofErr w:type="gramStart"/>
      <w:r w:rsidR="00D2083F" w:rsidRPr="00D2083F">
        <w:rPr>
          <w:rFonts w:ascii="Open Sans" w:eastAsia="Calibri" w:hAnsi="Open Sans" w:cs="Open Sans"/>
          <w:sz w:val="20"/>
          <w:szCs w:val="22"/>
          <w:lang w:val="en-CA"/>
        </w:rPr>
        <w:t>Nielsen</w:t>
      </w:r>
      <w:proofErr w:type="gramEnd"/>
      <w:r w:rsidR="00D2083F" w:rsidRPr="00D2083F">
        <w:rPr>
          <w:rFonts w:ascii="Open Sans" w:eastAsia="Calibri" w:hAnsi="Open Sans" w:cs="Open Sans"/>
          <w:sz w:val="20"/>
          <w:szCs w:val="22"/>
          <w:lang w:val="en-CA"/>
        </w:rPr>
        <w:t xml:space="preserve"> Vietnam.</w:t>
      </w:r>
    </w:p>
    <w:p w:rsidR="00A1151A" w:rsidRDefault="00A1151A" w:rsidP="00040EC0">
      <w:pPr>
        <w:pStyle w:val="Body"/>
        <w:spacing w:before="240" w:after="240"/>
        <w:jc w:val="both"/>
        <w:rPr>
          <w:rFonts w:ascii="Open Sans" w:eastAsia="Calibri" w:hAnsi="Open Sans" w:cs="Open Sans"/>
          <w:sz w:val="20"/>
          <w:szCs w:val="22"/>
          <w:lang w:val="en-CA"/>
        </w:rPr>
      </w:pPr>
    </w:p>
    <w:p w:rsidR="001C26F3" w:rsidRPr="00965332" w:rsidRDefault="007B1FD4" w:rsidP="001C26F3">
      <w:pPr>
        <w:pStyle w:val="Body"/>
        <w:spacing w:before="240" w:after="240"/>
        <w:jc w:val="both"/>
        <w:rPr>
          <w:rFonts w:ascii="Open Sans" w:eastAsia="Calibri" w:hAnsi="Open Sans" w:cs="Open Sans"/>
          <w:sz w:val="20"/>
          <w:szCs w:val="22"/>
          <w:lang w:val="en-CA"/>
        </w:rPr>
      </w:pPr>
      <w:r>
        <w:rPr>
          <w:rFonts w:ascii="Open Sans" w:eastAsia="Calibri" w:hAnsi="Open Sans" w:cs="Open Sans"/>
          <w:sz w:val="20"/>
          <w:szCs w:val="22"/>
          <w:lang w:val="en-CA"/>
        </w:rPr>
        <w:t>“</w:t>
      </w:r>
      <w:r w:rsidR="00B21ECE" w:rsidRPr="00B21ECE">
        <w:rPr>
          <w:rFonts w:ascii="Open Sans" w:eastAsia="Calibri" w:hAnsi="Open Sans" w:cs="Open Sans"/>
          <w:sz w:val="20"/>
          <w:szCs w:val="22"/>
          <w:lang w:val="en-CA"/>
        </w:rPr>
        <w:t>Rural Vietnam, however, remains a high-potential opportunity for many manufacturers</w:t>
      </w:r>
      <w:r w:rsidR="0029054D">
        <w:rPr>
          <w:rFonts w:ascii="Open Sans" w:eastAsia="Calibri" w:hAnsi="Open Sans" w:cs="Open Sans"/>
          <w:sz w:val="20"/>
          <w:szCs w:val="22"/>
          <w:lang w:val="en-CA"/>
        </w:rPr>
        <w:t>.</w:t>
      </w:r>
      <w:r w:rsidR="00B21ECE">
        <w:rPr>
          <w:rFonts w:ascii="Open Sans" w:eastAsia="Calibri" w:hAnsi="Open Sans" w:cs="Open Sans"/>
          <w:sz w:val="20"/>
          <w:szCs w:val="22"/>
          <w:lang w:val="en-CA"/>
        </w:rPr>
        <w:t xml:space="preserve"> </w:t>
      </w:r>
      <w:r>
        <w:rPr>
          <w:rFonts w:ascii="Open Sans" w:eastAsia="Calibri" w:hAnsi="Open Sans" w:cs="Open Sans"/>
          <w:sz w:val="20"/>
          <w:szCs w:val="22"/>
          <w:lang w:val="en-CA"/>
        </w:rPr>
        <w:t xml:space="preserve">And in rural, </w:t>
      </w:r>
      <w:r w:rsidRPr="007B1FD4">
        <w:rPr>
          <w:rFonts w:ascii="Open Sans" w:eastAsia="Calibri" w:hAnsi="Open Sans" w:cs="Open Sans"/>
          <w:sz w:val="20"/>
          <w:szCs w:val="22"/>
          <w:lang w:val="en-CA"/>
        </w:rPr>
        <w:t>traditional trade channel</w:t>
      </w:r>
      <w:r>
        <w:rPr>
          <w:rFonts w:ascii="Open Sans" w:eastAsia="Calibri" w:hAnsi="Open Sans" w:cs="Open Sans"/>
          <w:sz w:val="20"/>
          <w:szCs w:val="22"/>
          <w:lang w:val="en-CA"/>
        </w:rPr>
        <w:t xml:space="preserve">, </w:t>
      </w:r>
      <w:r w:rsidRPr="007B1FD4">
        <w:rPr>
          <w:rFonts w:ascii="Open Sans" w:eastAsia="Calibri" w:hAnsi="Open Sans" w:cs="Open Sans"/>
          <w:sz w:val="20"/>
          <w:szCs w:val="22"/>
          <w:lang w:val="en-CA"/>
        </w:rPr>
        <w:t>a complex and highly competitive channel, is</w:t>
      </w:r>
      <w:r>
        <w:rPr>
          <w:rFonts w:ascii="Open Sans" w:eastAsia="Calibri" w:hAnsi="Open Sans" w:cs="Open Sans"/>
          <w:sz w:val="20"/>
          <w:szCs w:val="22"/>
          <w:lang w:val="en-CA"/>
        </w:rPr>
        <w:t xml:space="preserve"> still</w:t>
      </w:r>
      <w:r w:rsidRPr="007B1FD4">
        <w:rPr>
          <w:rFonts w:ascii="Open Sans" w:eastAsia="Calibri" w:hAnsi="Open Sans" w:cs="Open Sans"/>
          <w:sz w:val="20"/>
          <w:szCs w:val="22"/>
          <w:lang w:val="en-CA"/>
        </w:rPr>
        <w:t xml:space="preserve"> where most of the sales are taking place</w:t>
      </w:r>
      <w:r>
        <w:rPr>
          <w:rFonts w:ascii="Open Sans" w:eastAsia="Calibri" w:hAnsi="Open Sans" w:cs="Open Sans"/>
          <w:sz w:val="20"/>
          <w:szCs w:val="22"/>
          <w:lang w:val="en-CA"/>
        </w:rPr>
        <w:t xml:space="preserve">. </w:t>
      </w:r>
      <w:r w:rsidRPr="007B1FD4">
        <w:rPr>
          <w:rFonts w:ascii="Open Sans" w:eastAsia="Calibri" w:hAnsi="Open Sans" w:cs="Open Sans"/>
          <w:sz w:val="20"/>
          <w:szCs w:val="22"/>
          <w:lang w:val="en-CA"/>
        </w:rPr>
        <w:t>Getting products to each and every retailer</w:t>
      </w:r>
      <w:r>
        <w:rPr>
          <w:rFonts w:ascii="Open Sans" w:eastAsia="Calibri" w:hAnsi="Open Sans" w:cs="Open Sans"/>
          <w:sz w:val="20"/>
          <w:szCs w:val="22"/>
          <w:lang w:val="en-CA"/>
        </w:rPr>
        <w:t xml:space="preserve"> in rural</w:t>
      </w:r>
      <w:r w:rsidRPr="007B1FD4">
        <w:rPr>
          <w:rFonts w:ascii="Open Sans" w:eastAsia="Calibri" w:hAnsi="Open Sans" w:cs="Open Sans"/>
          <w:sz w:val="20"/>
          <w:szCs w:val="22"/>
          <w:lang w:val="en-CA"/>
        </w:rPr>
        <w:t xml:space="preserve"> to expand the distribution to drive more sales has long thought be to a challenging game for manufacturers</w:t>
      </w:r>
      <w:r>
        <w:rPr>
          <w:rFonts w:ascii="Open Sans" w:eastAsia="Calibri" w:hAnsi="Open Sans" w:cs="Open Sans"/>
          <w:sz w:val="20"/>
          <w:szCs w:val="22"/>
          <w:lang w:val="en-CA"/>
        </w:rPr>
        <w:t xml:space="preserve">. Therefore, </w:t>
      </w:r>
      <w:r w:rsidRPr="007B1FD4">
        <w:rPr>
          <w:rFonts w:ascii="Open Sans" w:eastAsia="Calibri" w:hAnsi="Open Sans" w:cs="Open Sans"/>
          <w:sz w:val="20"/>
          <w:szCs w:val="22"/>
          <w:lang w:val="en-CA"/>
        </w:rPr>
        <w:t>stores segmentation or “where to focus” is what businesses are suggested to going after whenever thinking of expanding to this new potential market</w:t>
      </w:r>
      <w:r>
        <w:rPr>
          <w:rFonts w:ascii="Open Sans" w:eastAsia="Calibri" w:hAnsi="Open Sans" w:cs="Open Sans"/>
          <w:sz w:val="20"/>
          <w:szCs w:val="22"/>
          <w:lang w:val="en-CA"/>
        </w:rPr>
        <w:t xml:space="preserve">. </w:t>
      </w:r>
      <w:r w:rsidRPr="007B1FD4">
        <w:rPr>
          <w:rFonts w:ascii="Open Sans" w:eastAsia="Calibri" w:hAnsi="Open Sans" w:cs="Open Sans"/>
          <w:sz w:val="20"/>
          <w:szCs w:val="22"/>
          <w:lang w:val="en-CA"/>
        </w:rPr>
        <w:t>As the rural Vietnamese community continues to evolve, transform and takes centre stage as a key group for businesses, understanding who they really are, where, how and what they are buying and their most effective touch points will be prerequisites for future success</w:t>
      </w:r>
      <w:r>
        <w:rPr>
          <w:rFonts w:ascii="Open Sans" w:eastAsia="Calibri" w:hAnsi="Open Sans" w:cs="Open Sans"/>
          <w:sz w:val="20"/>
          <w:szCs w:val="22"/>
          <w:lang w:val="en-CA"/>
        </w:rPr>
        <w:t>”</w:t>
      </w:r>
      <w:r w:rsidR="00816E1A">
        <w:rPr>
          <w:rFonts w:ascii="Open Sans" w:eastAsia="Calibri" w:hAnsi="Open Sans" w:cs="Open Sans"/>
          <w:sz w:val="20"/>
          <w:szCs w:val="22"/>
          <w:lang w:val="en-CA"/>
        </w:rPr>
        <w:t xml:space="preserve"> – added Mr. </w:t>
      </w:r>
      <w:proofErr w:type="spellStart"/>
      <w:r w:rsidR="00816E1A">
        <w:rPr>
          <w:rFonts w:ascii="Open Sans" w:eastAsia="Calibri" w:hAnsi="Open Sans" w:cs="Open Sans"/>
          <w:sz w:val="20"/>
          <w:szCs w:val="22"/>
          <w:lang w:val="en-CA"/>
        </w:rPr>
        <w:t>Dzung</w:t>
      </w:r>
      <w:proofErr w:type="spellEnd"/>
      <w:r w:rsidR="00816E1A">
        <w:rPr>
          <w:rFonts w:ascii="Open Sans" w:eastAsia="Calibri" w:hAnsi="Open Sans" w:cs="Open Sans"/>
          <w:sz w:val="20"/>
          <w:szCs w:val="22"/>
          <w:lang w:val="en-CA"/>
        </w:rPr>
        <w:t>.</w:t>
      </w:r>
      <w:r w:rsidR="00AB499D" w:rsidRPr="0048188A">
        <w:rPr>
          <w:rFonts w:ascii="Open Sans" w:eastAsia="Calibri" w:hAnsi="Open Sans" w:cs="Open Sans"/>
          <w:sz w:val="20"/>
          <w:szCs w:val="22"/>
          <w:lang w:val="en-CA"/>
        </w:rPr>
        <w:t xml:space="preserve">  </w:t>
      </w:r>
    </w:p>
    <w:p w:rsidR="00AC12E5" w:rsidRPr="0048188A" w:rsidRDefault="00F76243" w:rsidP="00AC12E5">
      <w:pPr>
        <w:spacing w:after="120" w:line="240" w:lineRule="auto"/>
        <w:rPr>
          <w:rFonts w:ascii="Open Sans" w:eastAsia="Calibri" w:hAnsi="Open Sans" w:cs="Open Sans"/>
          <w:color w:val="000000"/>
          <w:sz w:val="20"/>
          <w:u w:color="000000"/>
          <w:bdr w:val="nil"/>
        </w:rPr>
      </w:pPr>
      <w:r w:rsidRPr="0048188A">
        <w:rPr>
          <w:rFonts w:ascii="Open Sans" w:eastAsia="Calibri" w:hAnsi="Open Sans" w:cs="Open Sans"/>
          <w:color w:val="000000"/>
          <w:sz w:val="20"/>
          <w:u w:val="single" w:color="000000"/>
          <w:bdr w:val="nil"/>
        </w:rPr>
        <w:t>Chart 1</w:t>
      </w:r>
      <w:r w:rsidR="00F6216D" w:rsidRPr="0048188A">
        <w:rPr>
          <w:rFonts w:ascii="Open Sans" w:eastAsia="Calibri" w:hAnsi="Open Sans" w:cs="Open Sans"/>
          <w:color w:val="000000"/>
          <w:sz w:val="20"/>
          <w:u w:color="000000"/>
          <w:bdr w:val="nil"/>
        </w:rPr>
        <w:t xml:space="preserve">: FMCG growth </w:t>
      </w:r>
    </w:p>
    <w:p w:rsidR="00F76243" w:rsidRPr="0048188A" w:rsidRDefault="00AC12E5" w:rsidP="00AC12E5">
      <w:pPr>
        <w:spacing w:after="120" w:line="240" w:lineRule="auto"/>
        <w:jc w:val="center"/>
        <w:rPr>
          <w:rFonts w:ascii="Open Sans" w:eastAsia="Calibri" w:hAnsi="Open Sans" w:cs="Open Sans"/>
          <w:color w:val="000000"/>
          <w:sz w:val="20"/>
          <w:u w:color="000000"/>
          <w:bdr w:val="nil"/>
        </w:rPr>
      </w:pPr>
      <w:r w:rsidRPr="0048188A">
        <w:rPr>
          <w:rFonts w:ascii="Open Sans" w:eastAsia="Calibri" w:hAnsi="Open Sans" w:cs="Open Sans"/>
          <w:noProof/>
          <w:color w:val="000000"/>
          <w:sz w:val="20"/>
          <w:u w:color="000000"/>
          <w:bdr w:val="nil"/>
          <w:lang w:val="en-US"/>
        </w:rPr>
        <w:drawing>
          <wp:inline distT="0" distB="0" distL="0" distR="0" wp14:anchorId="18F867E8" wp14:editId="0CB6DC77">
            <wp:extent cx="4114799" cy="2962656"/>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14799" cy="2962656"/>
                    </a:xfrm>
                    <a:prstGeom prst="rect">
                      <a:avLst/>
                    </a:prstGeom>
                    <a:ln>
                      <a:noFill/>
                    </a:ln>
                  </pic:spPr>
                </pic:pic>
              </a:graphicData>
            </a:graphic>
          </wp:inline>
        </w:drawing>
      </w:r>
    </w:p>
    <w:p w:rsidR="00AC12E5" w:rsidRPr="0048188A" w:rsidRDefault="00AC12E5" w:rsidP="00AC12E5">
      <w:pPr>
        <w:pStyle w:val="Body"/>
        <w:spacing w:after="240"/>
        <w:rPr>
          <w:rFonts w:ascii="Open Sans" w:eastAsia="Calibri" w:hAnsi="Open Sans" w:cs="Open Sans"/>
          <w:sz w:val="20"/>
          <w:szCs w:val="22"/>
        </w:rPr>
      </w:pPr>
      <w:r w:rsidRPr="0048188A">
        <w:rPr>
          <w:rFonts w:ascii="Open Sans" w:eastAsia="Calibri" w:hAnsi="Open Sans" w:cs="Open Sans"/>
          <w:sz w:val="20"/>
          <w:szCs w:val="22"/>
          <w:u w:val="single"/>
        </w:rPr>
        <w:t xml:space="preserve">Chart </w:t>
      </w:r>
      <w:r w:rsidR="002A3377" w:rsidRPr="0048188A">
        <w:rPr>
          <w:rFonts w:ascii="Open Sans" w:eastAsia="Calibri" w:hAnsi="Open Sans" w:cs="Open Sans"/>
          <w:sz w:val="20"/>
          <w:szCs w:val="22"/>
          <w:u w:val="single"/>
        </w:rPr>
        <w:t>2</w:t>
      </w:r>
      <w:r w:rsidRPr="0048188A">
        <w:rPr>
          <w:rFonts w:ascii="Open Sans" w:eastAsia="Calibri" w:hAnsi="Open Sans" w:cs="Open Sans"/>
          <w:sz w:val="20"/>
          <w:szCs w:val="22"/>
        </w:rPr>
        <w:t>: Super categories growth</w:t>
      </w:r>
    </w:p>
    <w:p w:rsidR="002B2DCD" w:rsidRPr="0048188A" w:rsidRDefault="00AC12E5" w:rsidP="00922844">
      <w:pPr>
        <w:pStyle w:val="Body"/>
        <w:jc w:val="center"/>
        <w:rPr>
          <w:rFonts w:ascii="Open Sans" w:eastAsia="Calibri" w:hAnsi="Open Sans" w:cs="Open Sans"/>
          <w:sz w:val="20"/>
          <w:szCs w:val="22"/>
        </w:rPr>
      </w:pPr>
      <w:r w:rsidRPr="0048188A">
        <w:rPr>
          <w:rFonts w:ascii="Open Sans" w:eastAsia="Calibri" w:hAnsi="Open Sans" w:cs="Open Sans"/>
          <w:noProof/>
          <w:sz w:val="20"/>
          <w:szCs w:val="22"/>
        </w:rPr>
        <w:drawing>
          <wp:inline distT="0" distB="0" distL="0" distR="0" wp14:anchorId="5E348903" wp14:editId="20791261">
            <wp:extent cx="4114799" cy="296265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14799" cy="2962655"/>
                    </a:xfrm>
                    <a:prstGeom prst="rect">
                      <a:avLst/>
                    </a:prstGeom>
                    <a:ln>
                      <a:noFill/>
                    </a:ln>
                  </pic:spPr>
                </pic:pic>
              </a:graphicData>
            </a:graphic>
          </wp:inline>
        </w:drawing>
      </w:r>
    </w:p>
    <w:p w:rsidR="00D168E6" w:rsidRPr="0048188A" w:rsidRDefault="00D168E6" w:rsidP="00922844">
      <w:pPr>
        <w:pStyle w:val="Body"/>
        <w:jc w:val="center"/>
        <w:rPr>
          <w:rFonts w:ascii="Open Sans" w:eastAsia="Calibri" w:hAnsi="Open Sans" w:cs="Open Sans"/>
          <w:sz w:val="20"/>
          <w:szCs w:val="22"/>
        </w:rPr>
      </w:pPr>
    </w:p>
    <w:p w:rsidR="00D168E6" w:rsidRPr="0048188A" w:rsidRDefault="00D168E6" w:rsidP="00922844">
      <w:pPr>
        <w:pStyle w:val="Body"/>
        <w:jc w:val="center"/>
        <w:rPr>
          <w:rFonts w:ascii="Open Sans" w:eastAsia="Calibri" w:hAnsi="Open Sans" w:cs="Open Sans"/>
          <w:sz w:val="20"/>
          <w:szCs w:val="22"/>
        </w:rPr>
      </w:pPr>
    </w:p>
    <w:p w:rsidR="00D168E6" w:rsidRPr="0048188A" w:rsidRDefault="00D168E6" w:rsidP="00D168E6">
      <w:pPr>
        <w:pStyle w:val="Body"/>
        <w:spacing w:after="240"/>
        <w:rPr>
          <w:rFonts w:ascii="Open Sans" w:eastAsia="Calibri" w:hAnsi="Open Sans" w:cs="Open Sans"/>
          <w:sz w:val="22"/>
          <w:szCs w:val="22"/>
        </w:rPr>
      </w:pPr>
      <w:r w:rsidRPr="0048188A">
        <w:rPr>
          <w:rFonts w:ascii="Open Sans" w:eastAsia="Calibri" w:hAnsi="Open Sans" w:cs="Open Sans"/>
          <w:sz w:val="20"/>
          <w:szCs w:val="22"/>
          <w:u w:val="single"/>
        </w:rPr>
        <w:t>Chart 3</w:t>
      </w:r>
      <w:r w:rsidRPr="0048188A">
        <w:rPr>
          <w:rFonts w:ascii="Open Sans" w:eastAsia="Calibri" w:hAnsi="Open Sans" w:cs="Open Sans"/>
          <w:sz w:val="20"/>
          <w:szCs w:val="22"/>
        </w:rPr>
        <w:t>: FMCG growth in urban vs. rural areas</w:t>
      </w:r>
    </w:p>
    <w:p w:rsidR="00D168E6" w:rsidRPr="0048188A" w:rsidRDefault="00D168E6" w:rsidP="00D168E6">
      <w:pPr>
        <w:pStyle w:val="Body"/>
        <w:jc w:val="center"/>
        <w:rPr>
          <w:rFonts w:ascii="Open Sans" w:eastAsia="Calibri" w:hAnsi="Open Sans" w:cs="Open Sans"/>
          <w:sz w:val="22"/>
          <w:szCs w:val="22"/>
        </w:rPr>
      </w:pPr>
      <w:r w:rsidRPr="0048188A">
        <w:rPr>
          <w:rFonts w:ascii="Open Sans" w:eastAsia="Calibri" w:hAnsi="Open Sans" w:cs="Open Sans"/>
          <w:noProof/>
          <w:sz w:val="22"/>
          <w:szCs w:val="22"/>
        </w:rPr>
        <w:drawing>
          <wp:inline distT="0" distB="0" distL="0" distR="0" wp14:anchorId="5FC2E85B" wp14:editId="5358D216">
            <wp:extent cx="4114799" cy="296265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14799" cy="2962655"/>
                    </a:xfrm>
                    <a:prstGeom prst="rect">
                      <a:avLst/>
                    </a:prstGeom>
                    <a:ln>
                      <a:noFill/>
                    </a:ln>
                  </pic:spPr>
                </pic:pic>
              </a:graphicData>
            </a:graphic>
          </wp:inline>
        </w:drawing>
      </w:r>
    </w:p>
    <w:p w:rsidR="009A139E" w:rsidRPr="0048188A" w:rsidRDefault="009A139E" w:rsidP="00922844">
      <w:pPr>
        <w:pStyle w:val="Body"/>
        <w:jc w:val="center"/>
        <w:rPr>
          <w:rFonts w:ascii="Open Sans" w:eastAsia="Calibri" w:hAnsi="Open Sans" w:cs="Open Sans"/>
          <w:sz w:val="22"/>
          <w:szCs w:val="22"/>
        </w:rPr>
      </w:pPr>
    </w:p>
    <w:p w:rsidR="00D93383" w:rsidRPr="0048188A" w:rsidRDefault="00D93383" w:rsidP="00922844">
      <w:pPr>
        <w:pStyle w:val="Body"/>
        <w:jc w:val="both"/>
        <w:rPr>
          <w:rFonts w:ascii="Open Sans" w:eastAsia="Calibri" w:hAnsi="Open Sans" w:cs="Open Sans"/>
          <w:sz w:val="22"/>
          <w:szCs w:val="22"/>
          <w:u w:val="single"/>
        </w:rPr>
      </w:pPr>
    </w:p>
    <w:p w:rsidR="00D03F4A" w:rsidRPr="0048188A" w:rsidRDefault="00D03F4A" w:rsidP="00D95CE6">
      <w:pPr>
        <w:pStyle w:val="Body"/>
        <w:rPr>
          <w:rFonts w:ascii="Open Sans" w:eastAsia="Calibri" w:hAnsi="Open Sans" w:cs="Open Sans"/>
          <w:b/>
          <w:sz w:val="20"/>
          <w:szCs w:val="20"/>
        </w:rPr>
      </w:pPr>
      <w:r w:rsidRPr="0048188A">
        <w:rPr>
          <w:rFonts w:ascii="Open Sans" w:eastAsia="Calibri" w:hAnsi="Open Sans" w:cs="Open Sans"/>
          <w:b/>
          <w:sz w:val="20"/>
          <w:szCs w:val="20"/>
        </w:rPr>
        <w:t>About Nielsen</w:t>
      </w:r>
    </w:p>
    <w:p w:rsidR="00DF23C8" w:rsidRPr="00DF18DA" w:rsidRDefault="00D03F4A" w:rsidP="00140850">
      <w:pPr>
        <w:pStyle w:val="Body"/>
        <w:jc w:val="both"/>
        <w:rPr>
          <w:rFonts w:ascii="Open Sans" w:eastAsia="Calibri" w:hAnsi="Open Sans" w:cs="Open Sans"/>
          <w:sz w:val="22"/>
          <w:szCs w:val="22"/>
        </w:rPr>
      </w:pPr>
      <w:r w:rsidRPr="0048188A">
        <w:rPr>
          <w:rFonts w:ascii="Open Sans" w:eastAsia="Calibri" w:hAnsi="Open Sans" w:cs="Open Sans"/>
          <w:sz w:val="20"/>
          <w:szCs w:val="20"/>
        </w:rPr>
        <w:t xml:space="preserve">Nielsen Holdings plc (NYSE: NLSN) is a global performance management company that provides a comprehensive understanding of what consumers Watch and Buy. Nielsen's Watch segment provides media and advertising clients with Total Audience measurement services across all devices where content — video, audio and text — is consumed. The Buy segment offers consumer packaged goods manufacturers and retailers the industry's only global view of retail performance measurement. By integrating information from its Watch and Buy segments and other data sources, Nielsen provides its clients with both world-class measurement as well as analytics that help improve performance.  Nielsen, an S&amp;P 500 company, has operations in over 100 countries that cover more than 90 percent of the world's population. For more information, visit </w:t>
      </w:r>
      <w:hyperlink r:id="rId14" w:history="1">
        <w:r w:rsidR="00F71F3D" w:rsidRPr="0048188A">
          <w:rPr>
            <w:rStyle w:val="Hyperlink"/>
            <w:rFonts w:ascii="Open Sans" w:eastAsia="Calibri" w:hAnsi="Open Sans" w:cs="Open Sans"/>
            <w:sz w:val="20"/>
            <w:szCs w:val="20"/>
          </w:rPr>
          <w:t>www.nielsen.com</w:t>
        </w:r>
      </w:hyperlink>
      <w:r w:rsidRPr="0048188A">
        <w:rPr>
          <w:rFonts w:ascii="Open Sans" w:eastAsia="Calibri" w:hAnsi="Open Sans" w:cs="Open Sans"/>
          <w:sz w:val="20"/>
          <w:szCs w:val="20"/>
        </w:rPr>
        <w:t>.</w:t>
      </w:r>
    </w:p>
    <w:sectPr w:rsidR="00DF23C8" w:rsidRPr="00DF18DA" w:rsidSect="00DF03BD">
      <w:headerReference w:type="default" r:id="rId15"/>
      <w:footnotePr>
        <w:pos w:val="beneathText"/>
      </w:footnotePr>
      <w:endnotePr>
        <w:numFmt w:val="decimal"/>
      </w:endnotePr>
      <w:pgSz w:w="12240" w:h="15840"/>
      <w:pgMar w:top="1260" w:right="1440" w:bottom="63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ED2" w:rsidRDefault="00F21ED2" w:rsidP="00377F27">
      <w:pPr>
        <w:spacing w:after="0" w:line="240" w:lineRule="auto"/>
      </w:pPr>
      <w:r>
        <w:separator/>
      </w:r>
    </w:p>
  </w:endnote>
  <w:endnote w:type="continuationSeparator" w:id="0">
    <w:p w:rsidR="00F21ED2" w:rsidRDefault="00F21ED2" w:rsidP="0037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calaSansOT-Ita">
    <w:altName w:val="ScalaSansOT-Ita"/>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ED2" w:rsidRDefault="00F21ED2" w:rsidP="00377F27">
      <w:pPr>
        <w:spacing w:after="0" w:line="240" w:lineRule="auto"/>
      </w:pPr>
      <w:r>
        <w:separator/>
      </w:r>
    </w:p>
  </w:footnote>
  <w:footnote w:type="continuationSeparator" w:id="0">
    <w:p w:rsidR="00F21ED2" w:rsidRDefault="00F21ED2" w:rsidP="00377F27">
      <w:pPr>
        <w:spacing w:after="0" w:line="240" w:lineRule="auto"/>
      </w:pPr>
      <w:r>
        <w:continuationSeparator/>
      </w:r>
    </w:p>
  </w:footnote>
  <w:footnote w:id="1">
    <w:p w:rsidR="003137F0" w:rsidRPr="005C5912" w:rsidRDefault="003137F0" w:rsidP="003137F0">
      <w:pPr>
        <w:pStyle w:val="Default"/>
        <w:rPr>
          <w:i/>
          <w:sz w:val="17"/>
          <w:szCs w:val="17"/>
        </w:rPr>
      </w:pPr>
      <w:r w:rsidRPr="005C5912">
        <w:rPr>
          <w:rStyle w:val="FootnoteReference"/>
          <w:i/>
          <w:sz w:val="17"/>
          <w:szCs w:val="17"/>
        </w:rPr>
        <w:footnoteRef/>
      </w:r>
      <w:r w:rsidRPr="005C5912">
        <w:rPr>
          <w:i/>
          <w:sz w:val="17"/>
          <w:szCs w:val="17"/>
        </w:rPr>
        <w:t xml:space="preserve"> Beverage includes: Beer, Soft Drink, Energy Drink, Sport Drink, Packaged Water, Tonic Food Drink, Fruit Juice, Tea Bag, Ready-To-Drink Tea, Ready To Drink Coffee, Coffee</w:t>
      </w:r>
    </w:p>
  </w:footnote>
  <w:footnote w:id="2">
    <w:p w:rsidR="003137F0" w:rsidRPr="005C5912" w:rsidRDefault="003137F0" w:rsidP="003137F0">
      <w:pPr>
        <w:pStyle w:val="Default"/>
        <w:rPr>
          <w:i/>
          <w:sz w:val="17"/>
          <w:szCs w:val="17"/>
        </w:rPr>
      </w:pPr>
      <w:r w:rsidRPr="005C5912">
        <w:rPr>
          <w:rStyle w:val="FootnoteReference"/>
          <w:i/>
          <w:sz w:val="17"/>
          <w:szCs w:val="17"/>
        </w:rPr>
        <w:footnoteRef/>
      </w:r>
      <w:r w:rsidRPr="005C5912">
        <w:rPr>
          <w:i/>
          <w:sz w:val="17"/>
          <w:szCs w:val="17"/>
        </w:rPr>
        <w:t xml:space="preserve"> Food includes: Biscuit, Pie and Sponge Cake, Snack, Cooking Oil, Instant Noodle, Chili Sauces, Gum, Meal Maker, Bouillon - MSG</w:t>
      </w:r>
    </w:p>
  </w:footnote>
  <w:footnote w:id="3">
    <w:p w:rsidR="003137F0" w:rsidRPr="005C5912" w:rsidRDefault="003137F0" w:rsidP="003137F0">
      <w:pPr>
        <w:pStyle w:val="Default"/>
        <w:rPr>
          <w:i/>
          <w:sz w:val="17"/>
          <w:szCs w:val="17"/>
        </w:rPr>
      </w:pPr>
      <w:r w:rsidRPr="005C5912">
        <w:rPr>
          <w:rStyle w:val="FootnoteReference"/>
          <w:i/>
          <w:sz w:val="17"/>
          <w:szCs w:val="17"/>
        </w:rPr>
        <w:footnoteRef/>
      </w:r>
      <w:r w:rsidRPr="005C5912">
        <w:rPr>
          <w:i/>
          <w:sz w:val="17"/>
          <w:szCs w:val="17"/>
        </w:rPr>
        <w:t xml:space="preserve"> Milk includes: Milk Powder, Spoon Yoghurt, Sweetened Condense Milk, Ready to drink milk</w:t>
      </w:r>
    </w:p>
  </w:footnote>
  <w:footnote w:id="4">
    <w:p w:rsidR="003137F0" w:rsidRPr="005C5912" w:rsidRDefault="003137F0" w:rsidP="003137F0">
      <w:pPr>
        <w:pStyle w:val="Default"/>
        <w:rPr>
          <w:i/>
          <w:sz w:val="17"/>
          <w:szCs w:val="17"/>
        </w:rPr>
      </w:pPr>
      <w:r w:rsidRPr="005C5912">
        <w:rPr>
          <w:rStyle w:val="FootnoteReference"/>
          <w:i/>
          <w:sz w:val="17"/>
          <w:szCs w:val="17"/>
        </w:rPr>
        <w:footnoteRef/>
      </w:r>
      <w:r w:rsidRPr="005C5912">
        <w:rPr>
          <w:i/>
          <w:sz w:val="17"/>
          <w:szCs w:val="17"/>
        </w:rPr>
        <w:t xml:space="preserve"> Household Care includes: Laundry, Dishwashing Liquid, Household Cleaner, Insecticide Aerosol, Insecticide Coil, Fabric Softener, Toilet Tissue</w:t>
      </w:r>
    </w:p>
  </w:footnote>
  <w:footnote w:id="5">
    <w:p w:rsidR="003137F0" w:rsidRPr="005C5912" w:rsidRDefault="003137F0" w:rsidP="003137F0">
      <w:pPr>
        <w:pStyle w:val="Default"/>
        <w:rPr>
          <w:i/>
          <w:sz w:val="17"/>
          <w:szCs w:val="17"/>
        </w:rPr>
      </w:pPr>
      <w:r w:rsidRPr="005C5912">
        <w:rPr>
          <w:rStyle w:val="FootnoteReference"/>
          <w:i/>
          <w:sz w:val="17"/>
          <w:szCs w:val="17"/>
        </w:rPr>
        <w:footnoteRef/>
      </w:r>
      <w:r w:rsidRPr="005C5912">
        <w:rPr>
          <w:i/>
          <w:sz w:val="17"/>
          <w:szCs w:val="17"/>
        </w:rPr>
        <w:t xml:space="preserve"> Personal Care includes: Facial Care Product, Shampoo, Hair Conditioner, Personal Wash, Toothpaste, Toothbrush, Facial Tissue, Feminine Protection, Mouth Wash, Deodorant, </w:t>
      </w:r>
      <w:proofErr w:type="gramStart"/>
      <w:r w:rsidRPr="005C5912">
        <w:rPr>
          <w:i/>
          <w:sz w:val="17"/>
          <w:szCs w:val="17"/>
        </w:rPr>
        <w:t>Body</w:t>
      </w:r>
      <w:proofErr w:type="gramEnd"/>
      <w:r w:rsidRPr="005C5912">
        <w:rPr>
          <w:i/>
          <w:sz w:val="17"/>
          <w:szCs w:val="17"/>
        </w:rPr>
        <w:t xml:space="preserve"> Lotion.</w:t>
      </w:r>
    </w:p>
    <w:p w:rsidR="003137F0" w:rsidRPr="000F4E63" w:rsidRDefault="003137F0" w:rsidP="003137F0">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21" w:rsidRDefault="003B6B21">
    <w:pPr>
      <w:pStyle w:val="Header"/>
    </w:pPr>
    <w:r>
      <w:tab/>
    </w:r>
    <w:r>
      <w:tab/>
    </w:r>
    <w:r w:rsidRPr="006B4AF2">
      <w:rPr>
        <w:noProof/>
        <w:color w:val="000000" w:themeColor="text1"/>
        <w:sz w:val="20"/>
        <w:szCs w:val="20"/>
        <w:lang w:val="en-US"/>
      </w:rPr>
      <w:drawing>
        <wp:inline distT="0" distB="0" distL="0" distR="0" wp14:anchorId="1E232AC1" wp14:editId="462BE616">
          <wp:extent cx="707366" cy="27817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156" cy="2761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1AB1"/>
    <w:multiLevelType w:val="hybridMultilevel"/>
    <w:tmpl w:val="EB1400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40FF314E"/>
    <w:multiLevelType w:val="hybridMultilevel"/>
    <w:tmpl w:val="54084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2A7E55"/>
    <w:multiLevelType w:val="hybridMultilevel"/>
    <w:tmpl w:val="A3D0ECE0"/>
    <w:lvl w:ilvl="0" w:tplc="0024D8EC">
      <w:start w:val="1"/>
      <w:numFmt w:val="bullet"/>
      <w:lvlText w:val=""/>
      <w:lvlJc w:val="left"/>
      <w:pPr>
        <w:tabs>
          <w:tab w:val="num" w:pos="720"/>
        </w:tabs>
        <w:ind w:left="720" w:hanging="360"/>
      </w:pPr>
      <w:rPr>
        <w:rFonts w:ascii="Wingdings" w:hAnsi="Wingdings" w:hint="default"/>
      </w:rPr>
    </w:lvl>
    <w:lvl w:ilvl="1" w:tplc="89D085A0">
      <w:start w:val="1"/>
      <w:numFmt w:val="bullet"/>
      <w:lvlText w:val=""/>
      <w:lvlJc w:val="left"/>
      <w:pPr>
        <w:tabs>
          <w:tab w:val="num" w:pos="1440"/>
        </w:tabs>
        <w:ind w:left="1440" w:hanging="360"/>
      </w:pPr>
      <w:rPr>
        <w:rFonts w:ascii="Wingdings" w:hAnsi="Wingdings" w:hint="default"/>
      </w:rPr>
    </w:lvl>
    <w:lvl w:ilvl="2" w:tplc="F2D6982E" w:tentative="1">
      <w:start w:val="1"/>
      <w:numFmt w:val="bullet"/>
      <w:lvlText w:val=""/>
      <w:lvlJc w:val="left"/>
      <w:pPr>
        <w:tabs>
          <w:tab w:val="num" w:pos="2160"/>
        </w:tabs>
        <w:ind w:left="2160" w:hanging="360"/>
      </w:pPr>
      <w:rPr>
        <w:rFonts w:ascii="Wingdings" w:hAnsi="Wingdings" w:hint="default"/>
      </w:rPr>
    </w:lvl>
    <w:lvl w:ilvl="3" w:tplc="B39CF3EA" w:tentative="1">
      <w:start w:val="1"/>
      <w:numFmt w:val="bullet"/>
      <w:lvlText w:val=""/>
      <w:lvlJc w:val="left"/>
      <w:pPr>
        <w:tabs>
          <w:tab w:val="num" w:pos="2880"/>
        </w:tabs>
        <w:ind w:left="2880" w:hanging="360"/>
      </w:pPr>
      <w:rPr>
        <w:rFonts w:ascii="Wingdings" w:hAnsi="Wingdings" w:hint="default"/>
      </w:rPr>
    </w:lvl>
    <w:lvl w:ilvl="4" w:tplc="08529AD8" w:tentative="1">
      <w:start w:val="1"/>
      <w:numFmt w:val="bullet"/>
      <w:lvlText w:val=""/>
      <w:lvlJc w:val="left"/>
      <w:pPr>
        <w:tabs>
          <w:tab w:val="num" w:pos="3600"/>
        </w:tabs>
        <w:ind w:left="3600" w:hanging="360"/>
      </w:pPr>
      <w:rPr>
        <w:rFonts w:ascii="Wingdings" w:hAnsi="Wingdings" w:hint="default"/>
      </w:rPr>
    </w:lvl>
    <w:lvl w:ilvl="5" w:tplc="F780898A" w:tentative="1">
      <w:start w:val="1"/>
      <w:numFmt w:val="bullet"/>
      <w:lvlText w:val=""/>
      <w:lvlJc w:val="left"/>
      <w:pPr>
        <w:tabs>
          <w:tab w:val="num" w:pos="4320"/>
        </w:tabs>
        <w:ind w:left="4320" w:hanging="360"/>
      </w:pPr>
      <w:rPr>
        <w:rFonts w:ascii="Wingdings" w:hAnsi="Wingdings" w:hint="default"/>
      </w:rPr>
    </w:lvl>
    <w:lvl w:ilvl="6" w:tplc="E9DA05E0" w:tentative="1">
      <w:start w:val="1"/>
      <w:numFmt w:val="bullet"/>
      <w:lvlText w:val=""/>
      <w:lvlJc w:val="left"/>
      <w:pPr>
        <w:tabs>
          <w:tab w:val="num" w:pos="5040"/>
        </w:tabs>
        <w:ind w:left="5040" w:hanging="360"/>
      </w:pPr>
      <w:rPr>
        <w:rFonts w:ascii="Wingdings" w:hAnsi="Wingdings" w:hint="default"/>
      </w:rPr>
    </w:lvl>
    <w:lvl w:ilvl="7" w:tplc="C1904BF6" w:tentative="1">
      <w:start w:val="1"/>
      <w:numFmt w:val="bullet"/>
      <w:lvlText w:val=""/>
      <w:lvlJc w:val="left"/>
      <w:pPr>
        <w:tabs>
          <w:tab w:val="num" w:pos="5760"/>
        </w:tabs>
        <w:ind w:left="5760" w:hanging="360"/>
      </w:pPr>
      <w:rPr>
        <w:rFonts w:ascii="Wingdings" w:hAnsi="Wingdings" w:hint="default"/>
      </w:rPr>
    </w:lvl>
    <w:lvl w:ilvl="8" w:tplc="6CAC92FE" w:tentative="1">
      <w:start w:val="1"/>
      <w:numFmt w:val="bullet"/>
      <w:lvlText w:val=""/>
      <w:lvlJc w:val="left"/>
      <w:pPr>
        <w:tabs>
          <w:tab w:val="num" w:pos="6480"/>
        </w:tabs>
        <w:ind w:left="6480" w:hanging="360"/>
      </w:pPr>
      <w:rPr>
        <w:rFonts w:ascii="Wingdings" w:hAnsi="Wingdings" w:hint="default"/>
      </w:rPr>
    </w:lvl>
  </w:abstractNum>
  <w:abstractNum w:abstractNumId="3">
    <w:nsid w:val="7E6E080E"/>
    <w:multiLevelType w:val="hybridMultilevel"/>
    <w:tmpl w:val="4770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AE3D0D"/>
    <w:multiLevelType w:val="hybridMultilevel"/>
    <w:tmpl w:val="A62A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228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27"/>
    <w:rsid w:val="00000442"/>
    <w:rsid w:val="00002649"/>
    <w:rsid w:val="00003345"/>
    <w:rsid w:val="000051E0"/>
    <w:rsid w:val="00010C50"/>
    <w:rsid w:val="000110CF"/>
    <w:rsid w:val="000141BF"/>
    <w:rsid w:val="000159E8"/>
    <w:rsid w:val="00017822"/>
    <w:rsid w:val="00017C15"/>
    <w:rsid w:val="000235A8"/>
    <w:rsid w:val="00025ACB"/>
    <w:rsid w:val="000326C4"/>
    <w:rsid w:val="00032EF5"/>
    <w:rsid w:val="00033F3F"/>
    <w:rsid w:val="00034659"/>
    <w:rsid w:val="00037789"/>
    <w:rsid w:val="00040EC0"/>
    <w:rsid w:val="00042426"/>
    <w:rsid w:val="00044D90"/>
    <w:rsid w:val="00046E58"/>
    <w:rsid w:val="00047B48"/>
    <w:rsid w:val="000555B3"/>
    <w:rsid w:val="000617DE"/>
    <w:rsid w:val="00061EB5"/>
    <w:rsid w:val="00062F03"/>
    <w:rsid w:val="00066C11"/>
    <w:rsid w:val="0006705F"/>
    <w:rsid w:val="000745AF"/>
    <w:rsid w:val="00082351"/>
    <w:rsid w:val="00082BD8"/>
    <w:rsid w:val="00094AC0"/>
    <w:rsid w:val="000958DB"/>
    <w:rsid w:val="00095AEE"/>
    <w:rsid w:val="00096925"/>
    <w:rsid w:val="000A0F87"/>
    <w:rsid w:val="000B331C"/>
    <w:rsid w:val="000B3AE9"/>
    <w:rsid w:val="000B4656"/>
    <w:rsid w:val="000B5CF3"/>
    <w:rsid w:val="000C3E06"/>
    <w:rsid w:val="000C5BEC"/>
    <w:rsid w:val="000D364B"/>
    <w:rsid w:val="000D365D"/>
    <w:rsid w:val="000D5FAF"/>
    <w:rsid w:val="000D6B8B"/>
    <w:rsid w:val="000D7A37"/>
    <w:rsid w:val="000E40B1"/>
    <w:rsid w:val="000E7945"/>
    <w:rsid w:val="000F490C"/>
    <w:rsid w:val="000F4E63"/>
    <w:rsid w:val="000F4F03"/>
    <w:rsid w:val="000F682A"/>
    <w:rsid w:val="00103461"/>
    <w:rsid w:val="00110C89"/>
    <w:rsid w:val="00111C36"/>
    <w:rsid w:val="001134C4"/>
    <w:rsid w:val="00116631"/>
    <w:rsid w:val="00123C50"/>
    <w:rsid w:val="00125818"/>
    <w:rsid w:val="00127F77"/>
    <w:rsid w:val="0013069A"/>
    <w:rsid w:val="001306DD"/>
    <w:rsid w:val="001332B4"/>
    <w:rsid w:val="00140850"/>
    <w:rsid w:val="00143404"/>
    <w:rsid w:val="0014370C"/>
    <w:rsid w:val="00145245"/>
    <w:rsid w:val="00145BA5"/>
    <w:rsid w:val="00150B64"/>
    <w:rsid w:val="0015333A"/>
    <w:rsid w:val="001646FC"/>
    <w:rsid w:val="00165D8C"/>
    <w:rsid w:val="00166E90"/>
    <w:rsid w:val="00167221"/>
    <w:rsid w:val="001709EF"/>
    <w:rsid w:val="0017203B"/>
    <w:rsid w:val="00177DEA"/>
    <w:rsid w:val="00180C73"/>
    <w:rsid w:val="001865BD"/>
    <w:rsid w:val="00187F7D"/>
    <w:rsid w:val="00191A50"/>
    <w:rsid w:val="0019367C"/>
    <w:rsid w:val="001A2477"/>
    <w:rsid w:val="001B77C9"/>
    <w:rsid w:val="001C0537"/>
    <w:rsid w:val="001C26F3"/>
    <w:rsid w:val="001C309A"/>
    <w:rsid w:val="001C3118"/>
    <w:rsid w:val="001C69DF"/>
    <w:rsid w:val="001C7302"/>
    <w:rsid w:val="001D58AA"/>
    <w:rsid w:val="001E0DE0"/>
    <w:rsid w:val="001E104D"/>
    <w:rsid w:val="001E3350"/>
    <w:rsid w:val="001E3C78"/>
    <w:rsid w:val="001E6DF0"/>
    <w:rsid w:val="001E7528"/>
    <w:rsid w:val="001F1A40"/>
    <w:rsid w:val="00201F30"/>
    <w:rsid w:val="00202CBC"/>
    <w:rsid w:val="00204A41"/>
    <w:rsid w:val="00211466"/>
    <w:rsid w:val="002137BC"/>
    <w:rsid w:val="002149C1"/>
    <w:rsid w:val="00216211"/>
    <w:rsid w:val="00217101"/>
    <w:rsid w:val="00217593"/>
    <w:rsid w:val="00222E5E"/>
    <w:rsid w:val="00224105"/>
    <w:rsid w:val="00224A0A"/>
    <w:rsid w:val="00224BEA"/>
    <w:rsid w:val="002252DC"/>
    <w:rsid w:val="00227D43"/>
    <w:rsid w:val="002316D7"/>
    <w:rsid w:val="00231779"/>
    <w:rsid w:val="0024127E"/>
    <w:rsid w:val="002470EC"/>
    <w:rsid w:val="00247390"/>
    <w:rsid w:val="00251BE7"/>
    <w:rsid w:val="00252147"/>
    <w:rsid w:val="00254ED8"/>
    <w:rsid w:val="002551C9"/>
    <w:rsid w:val="00260527"/>
    <w:rsid w:val="002619F6"/>
    <w:rsid w:val="0026458A"/>
    <w:rsid w:val="00270314"/>
    <w:rsid w:val="0027072F"/>
    <w:rsid w:val="0027254B"/>
    <w:rsid w:val="002748E3"/>
    <w:rsid w:val="002758BC"/>
    <w:rsid w:val="00276FA2"/>
    <w:rsid w:val="0029054D"/>
    <w:rsid w:val="002971D9"/>
    <w:rsid w:val="002A131E"/>
    <w:rsid w:val="002A3377"/>
    <w:rsid w:val="002B2DCD"/>
    <w:rsid w:val="002B3C8B"/>
    <w:rsid w:val="002B53FA"/>
    <w:rsid w:val="002C03F2"/>
    <w:rsid w:val="002C3DB2"/>
    <w:rsid w:val="002D0E5D"/>
    <w:rsid w:val="002D0ED2"/>
    <w:rsid w:val="002D1326"/>
    <w:rsid w:val="002D6B43"/>
    <w:rsid w:val="002D7BD1"/>
    <w:rsid w:val="002E0A4F"/>
    <w:rsid w:val="002E325B"/>
    <w:rsid w:val="002F0B07"/>
    <w:rsid w:val="00310397"/>
    <w:rsid w:val="00310D9F"/>
    <w:rsid w:val="003137F0"/>
    <w:rsid w:val="00313BDC"/>
    <w:rsid w:val="00316193"/>
    <w:rsid w:val="00316E78"/>
    <w:rsid w:val="00317FD7"/>
    <w:rsid w:val="0032480B"/>
    <w:rsid w:val="0032575D"/>
    <w:rsid w:val="003257CB"/>
    <w:rsid w:val="0033422C"/>
    <w:rsid w:val="00334C7F"/>
    <w:rsid w:val="00335140"/>
    <w:rsid w:val="00341741"/>
    <w:rsid w:val="00342876"/>
    <w:rsid w:val="00342DC0"/>
    <w:rsid w:val="003436C4"/>
    <w:rsid w:val="003440BB"/>
    <w:rsid w:val="0034458D"/>
    <w:rsid w:val="00350513"/>
    <w:rsid w:val="00350AA7"/>
    <w:rsid w:val="0035255D"/>
    <w:rsid w:val="00354316"/>
    <w:rsid w:val="003550C1"/>
    <w:rsid w:val="003628F3"/>
    <w:rsid w:val="00362FB1"/>
    <w:rsid w:val="0036515D"/>
    <w:rsid w:val="0036681A"/>
    <w:rsid w:val="00371003"/>
    <w:rsid w:val="0037236F"/>
    <w:rsid w:val="00374244"/>
    <w:rsid w:val="00377F27"/>
    <w:rsid w:val="00381E18"/>
    <w:rsid w:val="00386274"/>
    <w:rsid w:val="003900AB"/>
    <w:rsid w:val="00390299"/>
    <w:rsid w:val="003917C0"/>
    <w:rsid w:val="00391B22"/>
    <w:rsid w:val="003934B5"/>
    <w:rsid w:val="003936E1"/>
    <w:rsid w:val="003942A0"/>
    <w:rsid w:val="0039430F"/>
    <w:rsid w:val="00394690"/>
    <w:rsid w:val="003A0107"/>
    <w:rsid w:val="003A1666"/>
    <w:rsid w:val="003B123D"/>
    <w:rsid w:val="003B2569"/>
    <w:rsid w:val="003B2D53"/>
    <w:rsid w:val="003B4C8F"/>
    <w:rsid w:val="003B6B21"/>
    <w:rsid w:val="003B7FA6"/>
    <w:rsid w:val="003C1FA1"/>
    <w:rsid w:val="003C20E4"/>
    <w:rsid w:val="003C5859"/>
    <w:rsid w:val="003C58DF"/>
    <w:rsid w:val="003D79A6"/>
    <w:rsid w:val="003E6358"/>
    <w:rsid w:val="003E6500"/>
    <w:rsid w:val="003E7685"/>
    <w:rsid w:val="003F146F"/>
    <w:rsid w:val="003F21B1"/>
    <w:rsid w:val="003F5179"/>
    <w:rsid w:val="00400C25"/>
    <w:rsid w:val="004028C8"/>
    <w:rsid w:val="00407B9B"/>
    <w:rsid w:val="004105C1"/>
    <w:rsid w:val="00421220"/>
    <w:rsid w:val="0042134B"/>
    <w:rsid w:val="00421C0B"/>
    <w:rsid w:val="004231E1"/>
    <w:rsid w:val="0042382D"/>
    <w:rsid w:val="00425501"/>
    <w:rsid w:val="00425664"/>
    <w:rsid w:val="00425F2C"/>
    <w:rsid w:val="00430F33"/>
    <w:rsid w:val="00433168"/>
    <w:rsid w:val="00436C7E"/>
    <w:rsid w:val="00446ADE"/>
    <w:rsid w:val="00450465"/>
    <w:rsid w:val="00455425"/>
    <w:rsid w:val="0045631C"/>
    <w:rsid w:val="004604E8"/>
    <w:rsid w:val="004632D0"/>
    <w:rsid w:val="00467509"/>
    <w:rsid w:val="004724F9"/>
    <w:rsid w:val="0047789E"/>
    <w:rsid w:val="004803D2"/>
    <w:rsid w:val="00480B83"/>
    <w:rsid w:val="0048188A"/>
    <w:rsid w:val="004845E0"/>
    <w:rsid w:val="00484FCF"/>
    <w:rsid w:val="00487C55"/>
    <w:rsid w:val="0049020B"/>
    <w:rsid w:val="00493350"/>
    <w:rsid w:val="004A5694"/>
    <w:rsid w:val="004A64E3"/>
    <w:rsid w:val="004A64F9"/>
    <w:rsid w:val="004B199D"/>
    <w:rsid w:val="004B22FB"/>
    <w:rsid w:val="004B2708"/>
    <w:rsid w:val="004B28CC"/>
    <w:rsid w:val="004B4A8B"/>
    <w:rsid w:val="004B71CF"/>
    <w:rsid w:val="004C3C9C"/>
    <w:rsid w:val="004D133C"/>
    <w:rsid w:val="004D2628"/>
    <w:rsid w:val="004D3795"/>
    <w:rsid w:val="004D5EE7"/>
    <w:rsid w:val="004E1AEC"/>
    <w:rsid w:val="004E1DF2"/>
    <w:rsid w:val="004E31CD"/>
    <w:rsid w:val="004E71C8"/>
    <w:rsid w:val="004F6517"/>
    <w:rsid w:val="0050490B"/>
    <w:rsid w:val="005057DA"/>
    <w:rsid w:val="005058A4"/>
    <w:rsid w:val="005062F6"/>
    <w:rsid w:val="005124C2"/>
    <w:rsid w:val="00522BAF"/>
    <w:rsid w:val="00525B88"/>
    <w:rsid w:val="00527341"/>
    <w:rsid w:val="0053445B"/>
    <w:rsid w:val="00536828"/>
    <w:rsid w:val="005415D2"/>
    <w:rsid w:val="005449E0"/>
    <w:rsid w:val="005518FF"/>
    <w:rsid w:val="005551B3"/>
    <w:rsid w:val="00567D23"/>
    <w:rsid w:val="00570878"/>
    <w:rsid w:val="00572561"/>
    <w:rsid w:val="005730F9"/>
    <w:rsid w:val="0057467B"/>
    <w:rsid w:val="005751F0"/>
    <w:rsid w:val="005754A1"/>
    <w:rsid w:val="00577742"/>
    <w:rsid w:val="00580275"/>
    <w:rsid w:val="00586E9D"/>
    <w:rsid w:val="005922BA"/>
    <w:rsid w:val="00596AEA"/>
    <w:rsid w:val="005975BC"/>
    <w:rsid w:val="005A08EA"/>
    <w:rsid w:val="005A3E60"/>
    <w:rsid w:val="005A47C7"/>
    <w:rsid w:val="005A66EC"/>
    <w:rsid w:val="005B086F"/>
    <w:rsid w:val="005B36E2"/>
    <w:rsid w:val="005B5666"/>
    <w:rsid w:val="005C10AC"/>
    <w:rsid w:val="005C1260"/>
    <w:rsid w:val="005C47DD"/>
    <w:rsid w:val="005C52FB"/>
    <w:rsid w:val="005C5912"/>
    <w:rsid w:val="005D275B"/>
    <w:rsid w:val="005E0A34"/>
    <w:rsid w:val="005E25A6"/>
    <w:rsid w:val="005E6486"/>
    <w:rsid w:val="005E7B48"/>
    <w:rsid w:val="00602185"/>
    <w:rsid w:val="00604230"/>
    <w:rsid w:val="0060528E"/>
    <w:rsid w:val="006053CE"/>
    <w:rsid w:val="00607549"/>
    <w:rsid w:val="006119BD"/>
    <w:rsid w:val="00616D22"/>
    <w:rsid w:val="0062397C"/>
    <w:rsid w:val="006244CE"/>
    <w:rsid w:val="00631D71"/>
    <w:rsid w:val="006327A1"/>
    <w:rsid w:val="006342FA"/>
    <w:rsid w:val="00641003"/>
    <w:rsid w:val="0064576A"/>
    <w:rsid w:val="0064594B"/>
    <w:rsid w:val="00646282"/>
    <w:rsid w:val="0065071C"/>
    <w:rsid w:val="00653071"/>
    <w:rsid w:val="006611BC"/>
    <w:rsid w:val="00662DF7"/>
    <w:rsid w:val="006644E3"/>
    <w:rsid w:val="0066638C"/>
    <w:rsid w:val="0067055A"/>
    <w:rsid w:val="00671227"/>
    <w:rsid w:val="00671413"/>
    <w:rsid w:val="00672089"/>
    <w:rsid w:val="00675C4F"/>
    <w:rsid w:val="00676468"/>
    <w:rsid w:val="00676847"/>
    <w:rsid w:val="006821BB"/>
    <w:rsid w:val="00682B2D"/>
    <w:rsid w:val="006A16D7"/>
    <w:rsid w:val="006A6ADD"/>
    <w:rsid w:val="006D1787"/>
    <w:rsid w:val="006D1E54"/>
    <w:rsid w:val="006E0355"/>
    <w:rsid w:val="006E4DBD"/>
    <w:rsid w:val="006E583C"/>
    <w:rsid w:val="006F1D16"/>
    <w:rsid w:val="006F3000"/>
    <w:rsid w:val="006F40C4"/>
    <w:rsid w:val="006F5551"/>
    <w:rsid w:val="006F6EEB"/>
    <w:rsid w:val="006F7935"/>
    <w:rsid w:val="00705A7A"/>
    <w:rsid w:val="00707868"/>
    <w:rsid w:val="0071157D"/>
    <w:rsid w:val="00712659"/>
    <w:rsid w:val="007140FE"/>
    <w:rsid w:val="0071528B"/>
    <w:rsid w:val="00716F52"/>
    <w:rsid w:val="00732696"/>
    <w:rsid w:val="00733E3C"/>
    <w:rsid w:val="00735D32"/>
    <w:rsid w:val="00735DA6"/>
    <w:rsid w:val="00737319"/>
    <w:rsid w:val="0075164D"/>
    <w:rsid w:val="0076582C"/>
    <w:rsid w:val="00770C86"/>
    <w:rsid w:val="0077439B"/>
    <w:rsid w:val="007803F6"/>
    <w:rsid w:val="007834E7"/>
    <w:rsid w:val="00790CD0"/>
    <w:rsid w:val="007917D7"/>
    <w:rsid w:val="0079280A"/>
    <w:rsid w:val="00792A6A"/>
    <w:rsid w:val="007A7205"/>
    <w:rsid w:val="007A770B"/>
    <w:rsid w:val="007A773F"/>
    <w:rsid w:val="007A7797"/>
    <w:rsid w:val="007B1936"/>
    <w:rsid w:val="007B1FD4"/>
    <w:rsid w:val="007B78A7"/>
    <w:rsid w:val="007C0478"/>
    <w:rsid w:val="007C16FD"/>
    <w:rsid w:val="007C2D6B"/>
    <w:rsid w:val="007C2F02"/>
    <w:rsid w:val="007C5ACF"/>
    <w:rsid w:val="007C62E1"/>
    <w:rsid w:val="007D165E"/>
    <w:rsid w:val="007D5CB7"/>
    <w:rsid w:val="007D76FB"/>
    <w:rsid w:val="007E1CE9"/>
    <w:rsid w:val="007E2326"/>
    <w:rsid w:val="007E5D8F"/>
    <w:rsid w:val="007F0107"/>
    <w:rsid w:val="007F069B"/>
    <w:rsid w:val="007F38B4"/>
    <w:rsid w:val="00802A3C"/>
    <w:rsid w:val="008033F2"/>
    <w:rsid w:val="00803A8D"/>
    <w:rsid w:val="00816E1A"/>
    <w:rsid w:val="008179C4"/>
    <w:rsid w:val="00821A31"/>
    <w:rsid w:val="00826557"/>
    <w:rsid w:val="0083201A"/>
    <w:rsid w:val="00840076"/>
    <w:rsid w:val="00841860"/>
    <w:rsid w:val="00841E40"/>
    <w:rsid w:val="00844193"/>
    <w:rsid w:val="00844D6A"/>
    <w:rsid w:val="00847B18"/>
    <w:rsid w:val="0085048F"/>
    <w:rsid w:val="00851440"/>
    <w:rsid w:val="00855509"/>
    <w:rsid w:val="008665A6"/>
    <w:rsid w:val="008675ED"/>
    <w:rsid w:val="00876797"/>
    <w:rsid w:val="00886D2D"/>
    <w:rsid w:val="00895FFC"/>
    <w:rsid w:val="008A016A"/>
    <w:rsid w:val="008A0791"/>
    <w:rsid w:val="008A4759"/>
    <w:rsid w:val="008B0707"/>
    <w:rsid w:val="008B0F07"/>
    <w:rsid w:val="008B29F9"/>
    <w:rsid w:val="008B3726"/>
    <w:rsid w:val="008B4C37"/>
    <w:rsid w:val="008B629C"/>
    <w:rsid w:val="008B6DAE"/>
    <w:rsid w:val="008C2F13"/>
    <w:rsid w:val="008C3D52"/>
    <w:rsid w:val="008D2B4D"/>
    <w:rsid w:val="008D571E"/>
    <w:rsid w:val="008D5A8A"/>
    <w:rsid w:val="008D5CFF"/>
    <w:rsid w:val="008E3870"/>
    <w:rsid w:val="008F20C1"/>
    <w:rsid w:val="008F3B24"/>
    <w:rsid w:val="008F5A99"/>
    <w:rsid w:val="00900DE3"/>
    <w:rsid w:val="009018EB"/>
    <w:rsid w:val="00902956"/>
    <w:rsid w:val="0090380C"/>
    <w:rsid w:val="009039E3"/>
    <w:rsid w:val="00904F59"/>
    <w:rsid w:val="00906154"/>
    <w:rsid w:val="00910894"/>
    <w:rsid w:val="0091199F"/>
    <w:rsid w:val="00916D07"/>
    <w:rsid w:val="0092052B"/>
    <w:rsid w:val="00922844"/>
    <w:rsid w:val="00922FFD"/>
    <w:rsid w:val="00924C37"/>
    <w:rsid w:val="00937C23"/>
    <w:rsid w:val="00941002"/>
    <w:rsid w:val="00941B39"/>
    <w:rsid w:val="00941E56"/>
    <w:rsid w:val="009442DA"/>
    <w:rsid w:val="00944319"/>
    <w:rsid w:val="00947204"/>
    <w:rsid w:val="009478DD"/>
    <w:rsid w:val="00947E87"/>
    <w:rsid w:val="00954251"/>
    <w:rsid w:val="00954563"/>
    <w:rsid w:val="00960D51"/>
    <w:rsid w:val="00965332"/>
    <w:rsid w:val="009658F3"/>
    <w:rsid w:val="00967C9D"/>
    <w:rsid w:val="009727D2"/>
    <w:rsid w:val="009735C2"/>
    <w:rsid w:val="00974BC6"/>
    <w:rsid w:val="009760C5"/>
    <w:rsid w:val="0097666A"/>
    <w:rsid w:val="009769E9"/>
    <w:rsid w:val="0097706F"/>
    <w:rsid w:val="00982B7F"/>
    <w:rsid w:val="00984B60"/>
    <w:rsid w:val="00986070"/>
    <w:rsid w:val="00990159"/>
    <w:rsid w:val="00991615"/>
    <w:rsid w:val="009920B9"/>
    <w:rsid w:val="009926CB"/>
    <w:rsid w:val="009A08D5"/>
    <w:rsid w:val="009A139E"/>
    <w:rsid w:val="009A26FE"/>
    <w:rsid w:val="009A4CB3"/>
    <w:rsid w:val="009B1197"/>
    <w:rsid w:val="009B3295"/>
    <w:rsid w:val="009B4185"/>
    <w:rsid w:val="009B74F6"/>
    <w:rsid w:val="009D0193"/>
    <w:rsid w:val="009D43E9"/>
    <w:rsid w:val="009D45FD"/>
    <w:rsid w:val="009D6367"/>
    <w:rsid w:val="009E08A7"/>
    <w:rsid w:val="009E45EB"/>
    <w:rsid w:val="009F1798"/>
    <w:rsid w:val="009F5F92"/>
    <w:rsid w:val="00A021F7"/>
    <w:rsid w:val="00A077EA"/>
    <w:rsid w:val="00A10DCB"/>
    <w:rsid w:val="00A10E56"/>
    <w:rsid w:val="00A1151A"/>
    <w:rsid w:val="00A15839"/>
    <w:rsid w:val="00A2220D"/>
    <w:rsid w:val="00A322E6"/>
    <w:rsid w:val="00A334EC"/>
    <w:rsid w:val="00A3455A"/>
    <w:rsid w:val="00A34973"/>
    <w:rsid w:val="00A366DB"/>
    <w:rsid w:val="00A375AB"/>
    <w:rsid w:val="00A4629F"/>
    <w:rsid w:val="00A47FAD"/>
    <w:rsid w:val="00A50CF0"/>
    <w:rsid w:val="00A52F3A"/>
    <w:rsid w:val="00A55D85"/>
    <w:rsid w:val="00A572C7"/>
    <w:rsid w:val="00A606BD"/>
    <w:rsid w:val="00A62BC4"/>
    <w:rsid w:val="00A63821"/>
    <w:rsid w:val="00A64DBD"/>
    <w:rsid w:val="00A722D9"/>
    <w:rsid w:val="00A7595D"/>
    <w:rsid w:val="00A762BA"/>
    <w:rsid w:val="00A80943"/>
    <w:rsid w:val="00A81FFC"/>
    <w:rsid w:val="00A83B5E"/>
    <w:rsid w:val="00A841D1"/>
    <w:rsid w:val="00A922C3"/>
    <w:rsid w:val="00A928E0"/>
    <w:rsid w:val="00A93727"/>
    <w:rsid w:val="00A94838"/>
    <w:rsid w:val="00A96F40"/>
    <w:rsid w:val="00A9716B"/>
    <w:rsid w:val="00AA006A"/>
    <w:rsid w:val="00AA0184"/>
    <w:rsid w:val="00AA2268"/>
    <w:rsid w:val="00AA4EAA"/>
    <w:rsid w:val="00AB0454"/>
    <w:rsid w:val="00AB499D"/>
    <w:rsid w:val="00AB5AE0"/>
    <w:rsid w:val="00AB733E"/>
    <w:rsid w:val="00AC060E"/>
    <w:rsid w:val="00AC12E5"/>
    <w:rsid w:val="00AC1C1C"/>
    <w:rsid w:val="00AC3EF5"/>
    <w:rsid w:val="00AC4D4C"/>
    <w:rsid w:val="00AE0AA4"/>
    <w:rsid w:val="00AE32DF"/>
    <w:rsid w:val="00AE73A7"/>
    <w:rsid w:val="00AF5D65"/>
    <w:rsid w:val="00B00613"/>
    <w:rsid w:val="00B01004"/>
    <w:rsid w:val="00B052F6"/>
    <w:rsid w:val="00B11AA2"/>
    <w:rsid w:val="00B1422A"/>
    <w:rsid w:val="00B21744"/>
    <w:rsid w:val="00B21ECE"/>
    <w:rsid w:val="00B22C86"/>
    <w:rsid w:val="00B23F3C"/>
    <w:rsid w:val="00B24BBA"/>
    <w:rsid w:val="00B24E27"/>
    <w:rsid w:val="00B26C19"/>
    <w:rsid w:val="00B3483B"/>
    <w:rsid w:val="00B4051C"/>
    <w:rsid w:val="00B4100F"/>
    <w:rsid w:val="00B422BE"/>
    <w:rsid w:val="00B50D75"/>
    <w:rsid w:val="00B52715"/>
    <w:rsid w:val="00B531C2"/>
    <w:rsid w:val="00B53720"/>
    <w:rsid w:val="00B53F3D"/>
    <w:rsid w:val="00B54469"/>
    <w:rsid w:val="00B5551E"/>
    <w:rsid w:val="00B55C3C"/>
    <w:rsid w:val="00B64BBC"/>
    <w:rsid w:val="00B65153"/>
    <w:rsid w:val="00B66038"/>
    <w:rsid w:val="00B67DF1"/>
    <w:rsid w:val="00B82000"/>
    <w:rsid w:val="00B820C3"/>
    <w:rsid w:val="00B86F26"/>
    <w:rsid w:val="00B96164"/>
    <w:rsid w:val="00B96528"/>
    <w:rsid w:val="00B969FA"/>
    <w:rsid w:val="00B97595"/>
    <w:rsid w:val="00B975B2"/>
    <w:rsid w:val="00BA13AA"/>
    <w:rsid w:val="00BA26B7"/>
    <w:rsid w:val="00BA2C3F"/>
    <w:rsid w:val="00BA2E39"/>
    <w:rsid w:val="00BA5950"/>
    <w:rsid w:val="00BA5B89"/>
    <w:rsid w:val="00BA6459"/>
    <w:rsid w:val="00BB3932"/>
    <w:rsid w:val="00BB4DE6"/>
    <w:rsid w:val="00BB64F6"/>
    <w:rsid w:val="00BC0058"/>
    <w:rsid w:val="00BC0734"/>
    <w:rsid w:val="00BC1B60"/>
    <w:rsid w:val="00BC1C28"/>
    <w:rsid w:val="00BC6288"/>
    <w:rsid w:val="00BD32B2"/>
    <w:rsid w:val="00BD5E75"/>
    <w:rsid w:val="00BD7E1D"/>
    <w:rsid w:val="00BE1D10"/>
    <w:rsid w:val="00BE3617"/>
    <w:rsid w:val="00BE442A"/>
    <w:rsid w:val="00BE4859"/>
    <w:rsid w:val="00BE4D5C"/>
    <w:rsid w:val="00BF064F"/>
    <w:rsid w:val="00BF20A8"/>
    <w:rsid w:val="00BF7DE6"/>
    <w:rsid w:val="00C003E4"/>
    <w:rsid w:val="00C00B4C"/>
    <w:rsid w:val="00C03502"/>
    <w:rsid w:val="00C05C0C"/>
    <w:rsid w:val="00C06EF6"/>
    <w:rsid w:val="00C11BCB"/>
    <w:rsid w:val="00C11D5D"/>
    <w:rsid w:val="00C122C6"/>
    <w:rsid w:val="00C12921"/>
    <w:rsid w:val="00C16692"/>
    <w:rsid w:val="00C2149B"/>
    <w:rsid w:val="00C23E0B"/>
    <w:rsid w:val="00C26D8E"/>
    <w:rsid w:val="00C27CC5"/>
    <w:rsid w:val="00C30ABB"/>
    <w:rsid w:val="00C33F3E"/>
    <w:rsid w:val="00C37F4C"/>
    <w:rsid w:val="00C40D17"/>
    <w:rsid w:val="00C41CE8"/>
    <w:rsid w:val="00C43F65"/>
    <w:rsid w:val="00C44BCF"/>
    <w:rsid w:val="00C44CC4"/>
    <w:rsid w:val="00C45952"/>
    <w:rsid w:val="00C50429"/>
    <w:rsid w:val="00C5068F"/>
    <w:rsid w:val="00C60169"/>
    <w:rsid w:val="00C610DB"/>
    <w:rsid w:val="00C627F8"/>
    <w:rsid w:val="00C63C73"/>
    <w:rsid w:val="00C6672D"/>
    <w:rsid w:val="00C67CEF"/>
    <w:rsid w:val="00C81054"/>
    <w:rsid w:val="00C828D9"/>
    <w:rsid w:val="00C8357E"/>
    <w:rsid w:val="00C84954"/>
    <w:rsid w:val="00C86B1A"/>
    <w:rsid w:val="00C87944"/>
    <w:rsid w:val="00C92792"/>
    <w:rsid w:val="00C93919"/>
    <w:rsid w:val="00C93B54"/>
    <w:rsid w:val="00C94A8E"/>
    <w:rsid w:val="00C95CA8"/>
    <w:rsid w:val="00CA2F14"/>
    <w:rsid w:val="00CA4E96"/>
    <w:rsid w:val="00CA5858"/>
    <w:rsid w:val="00CB3CEA"/>
    <w:rsid w:val="00CB3E06"/>
    <w:rsid w:val="00CB67E2"/>
    <w:rsid w:val="00CB7433"/>
    <w:rsid w:val="00CC217C"/>
    <w:rsid w:val="00CC5AA7"/>
    <w:rsid w:val="00CD24A8"/>
    <w:rsid w:val="00CE7929"/>
    <w:rsid w:val="00CF0F77"/>
    <w:rsid w:val="00CF368B"/>
    <w:rsid w:val="00CF75D7"/>
    <w:rsid w:val="00D0157C"/>
    <w:rsid w:val="00D02D1C"/>
    <w:rsid w:val="00D03F4A"/>
    <w:rsid w:val="00D0457F"/>
    <w:rsid w:val="00D1514E"/>
    <w:rsid w:val="00D1675F"/>
    <w:rsid w:val="00D168E6"/>
    <w:rsid w:val="00D2083F"/>
    <w:rsid w:val="00D22408"/>
    <w:rsid w:val="00D2332F"/>
    <w:rsid w:val="00D24FFD"/>
    <w:rsid w:val="00D3082B"/>
    <w:rsid w:val="00D30EA9"/>
    <w:rsid w:val="00D351EE"/>
    <w:rsid w:val="00D42E1F"/>
    <w:rsid w:val="00D434E6"/>
    <w:rsid w:val="00D43D8E"/>
    <w:rsid w:val="00D5300F"/>
    <w:rsid w:val="00D5388A"/>
    <w:rsid w:val="00D5739C"/>
    <w:rsid w:val="00D605BC"/>
    <w:rsid w:val="00D63009"/>
    <w:rsid w:val="00D66122"/>
    <w:rsid w:val="00D66CA7"/>
    <w:rsid w:val="00D67C8B"/>
    <w:rsid w:val="00D73180"/>
    <w:rsid w:val="00D73EBE"/>
    <w:rsid w:val="00D83265"/>
    <w:rsid w:val="00D839CC"/>
    <w:rsid w:val="00D8600B"/>
    <w:rsid w:val="00D93040"/>
    <w:rsid w:val="00D93383"/>
    <w:rsid w:val="00D95CE6"/>
    <w:rsid w:val="00D9768E"/>
    <w:rsid w:val="00DA0EEC"/>
    <w:rsid w:val="00DA5361"/>
    <w:rsid w:val="00DC1BB0"/>
    <w:rsid w:val="00DC2F7C"/>
    <w:rsid w:val="00DC497A"/>
    <w:rsid w:val="00DC5A47"/>
    <w:rsid w:val="00DC5DAD"/>
    <w:rsid w:val="00DD090F"/>
    <w:rsid w:val="00DD22CD"/>
    <w:rsid w:val="00DD69BE"/>
    <w:rsid w:val="00DE3951"/>
    <w:rsid w:val="00DE3F3D"/>
    <w:rsid w:val="00DE5E94"/>
    <w:rsid w:val="00DE684D"/>
    <w:rsid w:val="00DE6C1E"/>
    <w:rsid w:val="00DE7919"/>
    <w:rsid w:val="00DF03BD"/>
    <w:rsid w:val="00DF07D6"/>
    <w:rsid w:val="00DF18DA"/>
    <w:rsid w:val="00DF23C8"/>
    <w:rsid w:val="00DF2652"/>
    <w:rsid w:val="00DF3D9E"/>
    <w:rsid w:val="00DF4F12"/>
    <w:rsid w:val="00DF7806"/>
    <w:rsid w:val="00DF7AC2"/>
    <w:rsid w:val="00E12208"/>
    <w:rsid w:val="00E13E22"/>
    <w:rsid w:val="00E14C5D"/>
    <w:rsid w:val="00E17CCF"/>
    <w:rsid w:val="00E20CB9"/>
    <w:rsid w:val="00E326C1"/>
    <w:rsid w:val="00E350FE"/>
    <w:rsid w:val="00E36BBB"/>
    <w:rsid w:val="00E4011F"/>
    <w:rsid w:val="00E4015C"/>
    <w:rsid w:val="00E40A0B"/>
    <w:rsid w:val="00E43DF3"/>
    <w:rsid w:val="00E4646F"/>
    <w:rsid w:val="00E46745"/>
    <w:rsid w:val="00E506B5"/>
    <w:rsid w:val="00E5198E"/>
    <w:rsid w:val="00E567A6"/>
    <w:rsid w:val="00E63A5F"/>
    <w:rsid w:val="00E66608"/>
    <w:rsid w:val="00E75BAA"/>
    <w:rsid w:val="00E839F1"/>
    <w:rsid w:val="00E84F55"/>
    <w:rsid w:val="00E86B68"/>
    <w:rsid w:val="00E92846"/>
    <w:rsid w:val="00E929F4"/>
    <w:rsid w:val="00E96226"/>
    <w:rsid w:val="00E97460"/>
    <w:rsid w:val="00EA025F"/>
    <w:rsid w:val="00EB4BA2"/>
    <w:rsid w:val="00EC0C84"/>
    <w:rsid w:val="00EC64F4"/>
    <w:rsid w:val="00ED7A9F"/>
    <w:rsid w:val="00EE35FB"/>
    <w:rsid w:val="00EF5ED6"/>
    <w:rsid w:val="00F01EF4"/>
    <w:rsid w:val="00F10E60"/>
    <w:rsid w:val="00F11356"/>
    <w:rsid w:val="00F14556"/>
    <w:rsid w:val="00F1482A"/>
    <w:rsid w:val="00F14DE9"/>
    <w:rsid w:val="00F21ED2"/>
    <w:rsid w:val="00F243CB"/>
    <w:rsid w:val="00F2588C"/>
    <w:rsid w:val="00F32EA5"/>
    <w:rsid w:val="00F34262"/>
    <w:rsid w:val="00F345A4"/>
    <w:rsid w:val="00F42E89"/>
    <w:rsid w:val="00F438BA"/>
    <w:rsid w:val="00F449BE"/>
    <w:rsid w:val="00F50B37"/>
    <w:rsid w:val="00F55896"/>
    <w:rsid w:val="00F603F6"/>
    <w:rsid w:val="00F6216D"/>
    <w:rsid w:val="00F63D2A"/>
    <w:rsid w:val="00F66132"/>
    <w:rsid w:val="00F70389"/>
    <w:rsid w:val="00F71F3D"/>
    <w:rsid w:val="00F72C71"/>
    <w:rsid w:val="00F73379"/>
    <w:rsid w:val="00F74BA3"/>
    <w:rsid w:val="00F76243"/>
    <w:rsid w:val="00F80221"/>
    <w:rsid w:val="00F86B6B"/>
    <w:rsid w:val="00F90DA9"/>
    <w:rsid w:val="00F93059"/>
    <w:rsid w:val="00F95A1A"/>
    <w:rsid w:val="00F97660"/>
    <w:rsid w:val="00FA36AE"/>
    <w:rsid w:val="00FA5600"/>
    <w:rsid w:val="00FB4817"/>
    <w:rsid w:val="00FB71E0"/>
    <w:rsid w:val="00FC5482"/>
    <w:rsid w:val="00FC67F9"/>
    <w:rsid w:val="00FD04DF"/>
    <w:rsid w:val="00FD0802"/>
    <w:rsid w:val="00FD45BF"/>
    <w:rsid w:val="00FD4666"/>
    <w:rsid w:val="00FD6F05"/>
    <w:rsid w:val="00FE05D5"/>
    <w:rsid w:val="00FE4CDF"/>
    <w:rsid w:val="00FE7150"/>
    <w:rsid w:val="00FF0EA6"/>
    <w:rsid w:val="00FF720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2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F27"/>
    <w:rPr>
      <w:color w:val="0000FF"/>
      <w:u w:val="single"/>
    </w:rPr>
  </w:style>
  <w:style w:type="paragraph" w:customStyle="1" w:styleId="nielsenbodytext">
    <w:name w:val="nielsen body text"/>
    <w:basedOn w:val="Normal"/>
    <w:uiPriority w:val="99"/>
    <w:rsid w:val="00377F27"/>
    <w:pPr>
      <w:spacing w:after="0" w:line="640" w:lineRule="exact"/>
    </w:pPr>
    <w:rPr>
      <w:rFonts w:ascii="Arial" w:eastAsia="SimSun" w:hAnsi="Arial" w:cs="Times New Roman"/>
      <w:sz w:val="20"/>
      <w:szCs w:val="24"/>
      <w:lang w:val="en-US"/>
    </w:rPr>
  </w:style>
  <w:style w:type="paragraph" w:customStyle="1" w:styleId="nielsenbodytext0">
    <w:name w:val="nielsenbodytext"/>
    <w:basedOn w:val="Normal"/>
    <w:rsid w:val="00377F27"/>
    <w:pPr>
      <w:spacing w:after="0" w:line="640" w:lineRule="atLeast"/>
    </w:pPr>
    <w:rPr>
      <w:rFonts w:ascii="Arial" w:eastAsia="Times New Roman" w:hAnsi="Arial" w:cs="Arial"/>
      <w:sz w:val="20"/>
      <w:szCs w:val="20"/>
      <w:lang w:val="en-US"/>
    </w:rPr>
  </w:style>
  <w:style w:type="paragraph" w:customStyle="1" w:styleId="Body">
    <w:name w:val="Body"/>
    <w:rsid w:val="00377F2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styleId="FootnoteText">
    <w:name w:val="footnote text"/>
    <w:basedOn w:val="Normal"/>
    <w:link w:val="FootnoteTextChar"/>
    <w:uiPriority w:val="99"/>
    <w:unhideWhenUsed/>
    <w:rsid w:val="00377F27"/>
    <w:pPr>
      <w:spacing w:after="0" w:line="240" w:lineRule="auto"/>
    </w:pPr>
    <w:rPr>
      <w:sz w:val="24"/>
      <w:szCs w:val="24"/>
    </w:rPr>
  </w:style>
  <w:style w:type="character" w:customStyle="1" w:styleId="FootnoteTextChar">
    <w:name w:val="Footnote Text Char"/>
    <w:basedOn w:val="DefaultParagraphFont"/>
    <w:link w:val="FootnoteText"/>
    <w:uiPriority w:val="99"/>
    <w:rsid w:val="00377F27"/>
    <w:rPr>
      <w:sz w:val="24"/>
      <w:szCs w:val="24"/>
      <w:lang w:val="en-CA"/>
    </w:rPr>
  </w:style>
  <w:style w:type="character" w:styleId="FootnoteReference">
    <w:name w:val="footnote reference"/>
    <w:basedOn w:val="DefaultParagraphFont"/>
    <w:uiPriority w:val="99"/>
    <w:unhideWhenUsed/>
    <w:rsid w:val="00377F27"/>
    <w:rPr>
      <w:vertAlign w:val="superscript"/>
    </w:rPr>
  </w:style>
  <w:style w:type="paragraph" w:styleId="BalloonText">
    <w:name w:val="Balloon Text"/>
    <w:basedOn w:val="Normal"/>
    <w:link w:val="BalloonTextChar"/>
    <w:uiPriority w:val="99"/>
    <w:semiHidden/>
    <w:unhideWhenUsed/>
    <w:rsid w:val="00377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F27"/>
    <w:rPr>
      <w:rFonts w:ascii="Tahoma" w:hAnsi="Tahoma" w:cs="Tahoma"/>
      <w:sz w:val="16"/>
      <w:szCs w:val="16"/>
      <w:lang w:val="en-CA"/>
    </w:rPr>
  </w:style>
  <w:style w:type="paragraph" w:styleId="ListParagraph">
    <w:name w:val="List Paragraph"/>
    <w:basedOn w:val="Normal"/>
    <w:uiPriority w:val="34"/>
    <w:qFormat/>
    <w:rsid w:val="002316D7"/>
    <w:pPr>
      <w:ind w:left="720"/>
      <w:contextualSpacing/>
    </w:pPr>
  </w:style>
  <w:style w:type="paragraph" w:styleId="Header">
    <w:name w:val="header"/>
    <w:basedOn w:val="Normal"/>
    <w:link w:val="HeaderChar"/>
    <w:uiPriority w:val="99"/>
    <w:unhideWhenUsed/>
    <w:rsid w:val="00B53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1C2"/>
    <w:rPr>
      <w:lang w:val="en-CA"/>
    </w:rPr>
  </w:style>
  <w:style w:type="paragraph" w:styleId="Footer">
    <w:name w:val="footer"/>
    <w:basedOn w:val="Normal"/>
    <w:link w:val="FooterChar"/>
    <w:uiPriority w:val="99"/>
    <w:unhideWhenUsed/>
    <w:rsid w:val="00B53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1C2"/>
    <w:rPr>
      <w:lang w:val="en-CA"/>
    </w:rPr>
  </w:style>
  <w:style w:type="character" w:customStyle="1" w:styleId="stbubblehcount">
    <w:name w:val="stbubble_hcount"/>
    <w:basedOn w:val="DefaultParagraphFont"/>
    <w:rsid w:val="00A52F3A"/>
  </w:style>
  <w:style w:type="character" w:customStyle="1" w:styleId="A1">
    <w:name w:val="A1"/>
    <w:uiPriority w:val="99"/>
    <w:rsid w:val="00A52F3A"/>
    <w:rPr>
      <w:rFonts w:cs="ScalaSansOT-Ita"/>
      <w:color w:val="807E83"/>
      <w:sz w:val="16"/>
      <w:szCs w:val="16"/>
    </w:rPr>
  </w:style>
  <w:style w:type="paragraph" w:customStyle="1" w:styleId="Default">
    <w:name w:val="Default"/>
    <w:rsid w:val="003E7685"/>
    <w:pPr>
      <w:autoSpaceDE w:val="0"/>
      <w:autoSpaceDN w:val="0"/>
      <w:adjustRightInd w:val="0"/>
      <w:spacing w:after="0" w:line="240" w:lineRule="auto"/>
    </w:pPr>
    <w:rPr>
      <w:rFonts w:ascii="Calibri" w:hAnsi="Calibri" w:cs="Calibri"/>
      <w:color w:val="000000"/>
      <w:sz w:val="24"/>
      <w:szCs w:val="24"/>
      <w:lang w:val="en-US"/>
    </w:rPr>
  </w:style>
  <w:style w:type="paragraph" w:styleId="EndnoteText">
    <w:name w:val="endnote text"/>
    <w:basedOn w:val="Normal"/>
    <w:link w:val="EndnoteTextChar"/>
    <w:uiPriority w:val="99"/>
    <w:semiHidden/>
    <w:unhideWhenUsed/>
    <w:rsid w:val="006239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397C"/>
    <w:rPr>
      <w:sz w:val="20"/>
      <w:szCs w:val="20"/>
      <w:lang w:val="en-CA"/>
    </w:rPr>
  </w:style>
  <w:style w:type="character" w:styleId="EndnoteReference">
    <w:name w:val="endnote reference"/>
    <w:basedOn w:val="DefaultParagraphFont"/>
    <w:uiPriority w:val="99"/>
    <w:semiHidden/>
    <w:unhideWhenUsed/>
    <w:rsid w:val="0062397C"/>
    <w:rPr>
      <w:vertAlign w:val="superscript"/>
    </w:rPr>
  </w:style>
  <w:style w:type="character" w:styleId="CommentReference">
    <w:name w:val="annotation reference"/>
    <w:basedOn w:val="DefaultParagraphFont"/>
    <w:uiPriority w:val="99"/>
    <w:semiHidden/>
    <w:unhideWhenUsed/>
    <w:rsid w:val="00C44BCF"/>
    <w:rPr>
      <w:sz w:val="16"/>
      <w:szCs w:val="16"/>
    </w:rPr>
  </w:style>
  <w:style w:type="paragraph" w:styleId="CommentText">
    <w:name w:val="annotation text"/>
    <w:basedOn w:val="Normal"/>
    <w:link w:val="CommentTextChar"/>
    <w:uiPriority w:val="99"/>
    <w:semiHidden/>
    <w:unhideWhenUsed/>
    <w:rsid w:val="00C44BCF"/>
    <w:pPr>
      <w:spacing w:line="240" w:lineRule="auto"/>
    </w:pPr>
    <w:rPr>
      <w:sz w:val="20"/>
      <w:szCs w:val="20"/>
    </w:rPr>
  </w:style>
  <w:style w:type="character" w:customStyle="1" w:styleId="CommentTextChar">
    <w:name w:val="Comment Text Char"/>
    <w:basedOn w:val="DefaultParagraphFont"/>
    <w:link w:val="CommentText"/>
    <w:uiPriority w:val="99"/>
    <w:semiHidden/>
    <w:rsid w:val="00C44BCF"/>
    <w:rPr>
      <w:sz w:val="20"/>
      <w:szCs w:val="20"/>
      <w:lang w:val="en-CA"/>
    </w:rPr>
  </w:style>
  <w:style w:type="paragraph" w:styleId="CommentSubject">
    <w:name w:val="annotation subject"/>
    <w:basedOn w:val="CommentText"/>
    <w:next w:val="CommentText"/>
    <w:link w:val="CommentSubjectChar"/>
    <w:uiPriority w:val="99"/>
    <w:semiHidden/>
    <w:unhideWhenUsed/>
    <w:rsid w:val="00C44BCF"/>
    <w:rPr>
      <w:b/>
      <w:bCs/>
    </w:rPr>
  </w:style>
  <w:style w:type="character" w:customStyle="1" w:styleId="CommentSubjectChar">
    <w:name w:val="Comment Subject Char"/>
    <w:basedOn w:val="CommentTextChar"/>
    <w:link w:val="CommentSubject"/>
    <w:uiPriority w:val="99"/>
    <w:semiHidden/>
    <w:rsid w:val="00C44BCF"/>
    <w:rPr>
      <w:b/>
      <w:bCs/>
      <w:sz w:val="20"/>
      <w:szCs w:val="20"/>
      <w:lang w:val="en-CA"/>
    </w:rPr>
  </w:style>
  <w:style w:type="paragraph" w:styleId="NormalWeb">
    <w:name w:val="Normal (Web)"/>
    <w:basedOn w:val="Normal"/>
    <w:uiPriority w:val="99"/>
    <w:unhideWhenUsed/>
    <w:rsid w:val="005C5912"/>
    <w:pPr>
      <w:spacing w:after="150" w:line="240" w:lineRule="auto"/>
    </w:pPr>
    <w:rPr>
      <w:rFonts w:ascii="Times New Roman" w:eastAsia="Times New Roman" w:hAnsi="Times New Roman" w:cs="Times New Roman"/>
      <w:sz w:val="24"/>
      <w:szCs w:val="24"/>
      <w:lang w:val="en-US"/>
    </w:rPr>
  </w:style>
  <w:style w:type="character" w:customStyle="1" w:styleId="hps">
    <w:name w:val="hps"/>
    <w:basedOn w:val="DefaultParagraphFont"/>
    <w:rsid w:val="000051E0"/>
  </w:style>
  <w:style w:type="character" w:customStyle="1" w:styleId="apple-converted-space">
    <w:name w:val="apple-converted-space"/>
    <w:basedOn w:val="DefaultParagraphFont"/>
    <w:rsid w:val="00493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2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F27"/>
    <w:rPr>
      <w:color w:val="0000FF"/>
      <w:u w:val="single"/>
    </w:rPr>
  </w:style>
  <w:style w:type="paragraph" w:customStyle="1" w:styleId="nielsenbodytext">
    <w:name w:val="nielsen body text"/>
    <w:basedOn w:val="Normal"/>
    <w:uiPriority w:val="99"/>
    <w:rsid w:val="00377F27"/>
    <w:pPr>
      <w:spacing w:after="0" w:line="640" w:lineRule="exact"/>
    </w:pPr>
    <w:rPr>
      <w:rFonts w:ascii="Arial" w:eastAsia="SimSun" w:hAnsi="Arial" w:cs="Times New Roman"/>
      <w:sz w:val="20"/>
      <w:szCs w:val="24"/>
      <w:lang w:val="en-US"/>
    </w:rPr>
  </w:style>
  <w:style w:type="paragraph" w:customStyle="1" w:styleId="nielsenbodytext0">
    <w:name w:val="nielsenbodytext"/>
    <w:basedOn w:val="Normal"/>
    <w:rsid w:val="00377F27"/>
    <w:pPr>
      <w:spacing w:after="0" w:line="640" w:lineRule="atLeast"/>
    </w:pPr>
    <w:rPr>
      <w:rFonts w:ascii="Arial" w:eastAsia="Times New Roman" w:hAnsi="Arial" w:cs="Arial"/>
      <w:sz w:val="20"/>
      <w:szCs w:val="20"/>
      <w:lang w:val="en-US"/>
    </w:rPr>
  </w:style>
  <w:style w:type="paragraph" w:customStyle="1" w:styleId="Body">
    <w:name w:val="Body"/>
    <w:rsid w:val="00377F2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styleId="FootnoteText">
    <w:name w:val="footnote text"/>
    <w:basedOn w:val="Normal"/>
    <w:link w:val="FootnoteTextChar"/>
    <w:uiPriority w:val="99"/>
    <w:unhideWhenUsed/>
    <w:rsid w:val="00377F27"/>
    <w:pPr>
      <w:spacing w:after="0" w:line="240" w:lineRule="auto"/>
    </w:pPr>
    <w:rPr>
      <w:sz w:val="24"/>
      <w:szCs w:val="24"/>
    </w:rPr>
  </w:style>
  <w:style w:type="character" w:customStyle="1" w:styleId="FootnoteTextChar">
    <w:name w:val="Footnote Text Char"/>
    <w:basedOn w:val="DefaultParagraphFont"/>
    <w:link w:val="FootnoteText"/>
    <w:uiPriority w:val="99"/>
    <w:rsid w:val="00377F27"/>
    <w:rPr>
      <w:sz w:val="24"/>
      <w:szCs w:val="24"/>
      <w:lang w:val="en-CA"/>
    </w:rPr>
  </w:style>
  <w:style w:type="character" w:styleId="FootnoteReference">
    <w:name w:val="footnote reference"/>
    <w:basedOn w:val="DefaultParagraphFont"/>
    <w:uiPriority w:val="99"/>
    <w:unhideWhenUsed/>
    <w:rsid w:val="00377F27"/>
    <w:rPr>
      <w:vertAlign w:val="superscript"/>
    </w:rPr>
  </w:style>
  <w:style w:type="paragraph" w:styleId="BalloonText">
    <w:name w:val="Balloon Text"/>
    <w:basedOn w:val="Normal"/>
    <w:link w:val="BalloonTextChar"/>
    <w:uiPriority w:val="99"/>
    <w:semiHidden/>
    <w:unhideWhenUsed/>
    <w:rsid w:val="00377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F27"/>
    <w:rPr>
      <w:rFonts w:ascii="Tahoma" w:hAnsi="Tahoma" w:cs="Tahoma"/>
      <w:sz w:val="16"/>
      <w:szCs w:val="16"/>
      <w:lang w:val="en-CA"/>
    </w:rPr>
  </w:style>
  <w:style w:type="paragraph" w:styleId="ListParagraph">
    <w:name w:val="List Paragraph"/>
    <w:basedOn w:val="Normal"/>
    <w:uiPriority w:val="34"/>
    <w:qFormat/>
    <w:rsid w:val="002316D7"/>
    <w:pPr>
      <w:ind w:left="720"/>
      <w:contextualSpacing/>
    </w:pPr>
  </w:style>
  <w:style w:type="paragraph" w:styleId="Header">
    <w:name w:val="header"/>
    <w:basedOn w:val="Normal"/>
    <w:link w:val="HeaderChar"/>
    <w:uiPriority w:val="99"/>
    <w:unhideWhenUsed/>
    <w:rsid w:val="00B53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1C2"/>
    <w:rPr>
      <w:lang w:val="en-CA"/>
    </w:rPr>
  </w:style>
  <w:style w:type="paragraph" w:styleId="Footer">
    <w:name w:val="footer"/>
    <w:basedOn w:val="Normal"/>
    <w:link w:val="FooterChar"/>
    <w:uiPriority w:val="99"/>
    <w:unhideWhenUsed/>
    <w:rsid w:val="00B53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1C2"/>
    <w:rPr>
      <w:lang w:val="en-CA"/>
    </w:rPr>
  </w:style>
  <w:style w:type="character" w:customStyle="1" w:styleId="stbubblehcount">
    <w:name w:val="stbubble_hcount"/>
    <w:basedOn w:val="DefaultParagraphFont"/>
    <w:rsid w:val="00A52F3A"/>
  </w:style>
  <w:style w:type="character" w:customStyle="1" w:styleId="A1">
    <w:name w:val="A1"/>
    <w:uiPriority w:val="99"/>
    <w:rsid w:val="00A52F3A"/>
    <w:rPr>
      <w:rFonts w:cs="ScalaSansOT-Ita"/>
      <w:color w:val="807E83"/>
      <w:sz w:val="16"/>
      <w:szCs w:val="16"/>
    </w:rPr>
  </w:style>
  <w:style w:type="paragraph" w:customStyle="1" w:styleId="Default">
    <w:name w:val="Default"/>
    <w:rsid w:val="003E7685"/>
    <w:pPr>
      <w:autoSpaceDE w:val="0"/>
      <w:autoSpaceDN w:val="0"/>
      <w:adjustRightInd w:val="0"/>
      <w:spacing w:after="0" w:line="240" w:lineRule="auto"/>
    </w:pPr>
    <w:rPr>
      <w:rFonts w:ascii="Calibri" w:hAnsi="Calibri" w:cs="Calibri"/>
      <w:color w:val="000000"/>
      <w:sz w:val="24"/>
      <w:szCs w:val="24"/>
      <w:lang w:val="en-US"/>
    </w:rPr>
  </w:style>
  <w:style w:type="paragraph" w:styleId="EndnoteText">
    <w:name w:val="endnote text"/>
    <w:basedOn w:val="Normal"/>
    <w:link w:val="EndnoteTextChar"/>
    <w:uiPriority w:val="99"/>
    <w:semiHidden/>
    <w:unhideWhenUsed/>
    <w:rsid w:val="006239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397C"/>
    <w:rPr>
      <w:sz w:val="20"/>
      <w:szCs w:val="20"/>
      <w:lang w:val="en-CA"/>
    </w:rPr>
  </w:style>
  <w:style w:type="character" w:styleId="EndnoteReference">
    <w:name w:val="endnote reference"/>
    <w:basedOn w:val="DefaultParagraphFont"/>
    <w:uiPriority w:val="99"/>
    <w:semiHidden/>
    <w:unhideWhenUsed/>
    <w:rsid w:val="0062397C"/>
    <w:rPr>
      <w:vertAlign w:val="superscript"/>
    </w:rPr>
  </w:style>
  <w:style w:type="character" w:styleId="CommentReference">
    <w:name w:val="annotation reference"/>
    <w:basedOn w:val="DefaultParagraphFont"/>
    <w:uiPriority w:val="99"/>
    <w:semiHidden/>
    <w:unhideWhenUsed/>
    <w:rsid w:val="00C44BCF"/>
    <w:rPr>
      <w:sz w:val="16"/>
      <w:szCs w:val="16"/>
    </w:rPr>
  </w:style>
  <w:style w:type="paragraph" w:styleId="CommentText">
    <w:name w:val="annotation text"/>
    <w:basedOn w:val="Normal"/>
    <w:link w:val="CommentTextChar"/>
    <w:uiPriority w:val="99"/>
    <w:semiHidden/>
    <w:unhideWhenUsed/>
    <w:rsid w:val="00C44BCF"/>
    <w:pPr>
      <w:spacing w:line="240" w:lineRule="auto"/>
    </w:pPr>
    <w:rPr>
      <w:sz w:val="20"/>
      <w:szCs w:val="20"/>
    </w:rPr>
  </w:style>
  <w:style w:type="character" w:customStyle="1" w:styleId="CommentTextChar">
    <w:name w:val="Comment Text Char"/>
    <w:basedOn w:val="DefaultParagraphFont"/>
    <w:link w:val="CommentText"/>
    <w:uiPriority w:val="99"/>
    <w:semiHidden/>
    <w:rsid w:val="00C44BCF"/>
    <w:rPr>
      <w:sz w:val="20"/>
      <w:szCs w:val="20"/>
      <w:lang w:val="en-CA"/>
    </w:rPr>
  </w:style>
  <w:style w:type="paragraph" w:styleId="CommentSubject">
    <w:name w:val="annotation subject"/>
    <w:basedOn w:val="CommentText"/>
    <w:next w:val="CommentText"/>
    <w:link w:val="CommentSubjectChar"/>
    <w:uiPriority w:val="99"/>
    <w:semiHidden/>
    <w:unhideWhenUsed/>
    <w:rsid w:val="00C44BCF"/>
    <w:rPr>
      <w:b/>
      <w:bCs/>
    </w:rPr>
  </w:style>
  <w:style w:type="character" w:customStyle="1" w:styleId="CommentSubjectChar">
    <w:name w:val="Comment Subject Char"/>
    <w:basedOn w:val="CommentTextChar"/>
    <w:link w:val="CommentSubject"/>
    <w:uiPriority w:val="99"/>
    <w:semiHidden/>
    <w:rsid w:val="00C44BCF"/>
    <w:rPr>
      <w:b/>
      <w:bCs/>
      <w:sz w:val="20"/>
      <w:szCs w:val="20"/>
      <w:lang w:val="en-CA"/>
    </w:rPr>
  </w:style>
  <w:style w:type="paragraph" w:styleId="NormalWeb">
    <w:name w:val="Normal (Web)"/>
    <w:basedOn w:val="Normal"/>
    <w:uiPriority w:val="99"/>
    <w:unhideWhenUsed/>
    <w:rsid w:val="005C5912"/>
    <w:pPr>
      <w:spacing w:after="150" w:line="240" w:lineRule="auto"/>
    </w:pPr>
    <w:rPr>
      <w:rFonts w:ascii="Times New Roman" w:eastAsia="Times New Roman" w:hAnsi="Times New Roman" w:cs="Times New Roman"/>
      <w:sz w:val="24"/>
      <w:szCs w:val="24"/>
      <w:lang w:val="en-US"/>
    </w:rPr>
  </w:style>
  <w:style w:type="character" w:customStyle="1" w:styleId="hps">
    <w:name w:val="hps"/>
    <w:basedOn w:val="DefaultParagraphFont"/>
    <w:rsid w:val="000051E0"/>
  </w:style>
  <w:style w:type="character" w:customStyle="1" w:styleId="apple-converted-space">
    <w:name w:val="apple-converted-space"/>
    <w:basedOn w:val="DefaultParagraphFont"/>
    <w:rsid w:val="00493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0042">
      <w:bodyDiv w:val="1"/>
      <w:marLeft w:val="0"/>
      <w:marRight w:val="0"/>
      <w:marTop w:val="0"/>
      <w:marBottom w:val="0"/>
      <w:divBdr>
        <w:top w:val="none" w:sz="0" w:space="0" w:color="auto"/>
        <w:left w:val="none" w:sz="0" w:space="0" w:color="auto"/>
        <w:bottom w:val="none" w:sz="0" w:space="0" w:color="auto"/>
        <w:right w:val="none" w:sz="0" w:space="0" w:color="auto"/>
      </w:divBdr>
      <w:divsChild>
        <w:div w:id="23527978">
          <w:marLeft w:val="907"/>
          <w:marRight w:val="0"/>
          <w:marTop w:val="120"/>
          <w:marBottom w:val="0"/>
          <w:divBdr>
            <w:top w:val="none" w:sz="0" w:space="0" w:color="auto"/>
            <w:left w:val="none" w:sz="0" w:space="0" w:color="auto"/>
            <w:bottom w:val="none" w:sz="0" w:space="0" w:color="auto"/>
            <w:right w:val="none" w:sz="0" w:space="0" w:color="auto"/>
          </w:divBdr>
        </w:div>
      </w:divsChild>
    </w:div>
    <w:div w:id="271010313">
      <w:bodyDiv w:val="1"/>
      <w:marLeft w:val="0"/>
      <w:marRight w:val="0"/>
      <w:marTop w:val="0"/>
      <w:marBottom w:val="0"/>
      <w:divBdr>
        <w:top w:val="none" w:sz="0" w:space="0" w:color="auto"/>
        <w:left w:val="none" w:sz="0" w:space="0" w:color="auto"/>
        <w:bottom w:val="none" w:sz="0" w:space="0" w:color="auto"/>
        <w:right w:val="none" w:sz="0" w:space="0" w:color="auto"/>
      </w:divBdr>
    </w:div>
    <w:div w:id="400248968">
      <w:bodyDiv w:val="1"/>
      <w:marLeft w:val="0"/>
      <w:marRight w:val="0"/>
      <w:marTop w:val="0"/>
      <w:marBottom w:val="0"/>
      <w:divBdr>
        <w:top w:val="none" w:sz="0" w:space="0" w:color="auto"/>
        <w:left w:val="none" w:sz="0" w:space="0" w:color="auto"/>
        <w:bottom w:val="none" w:sz="0" w:space="0" w:color="auto"/>
        <w:right w:val="none" w:sz="0" w:space="0" w:color="auto"/>
      </w:divBdr>
      <w:divsChild>
        <w:div w:id="1572155465">
          <w:marLeft w:val="0"/>
          <w:marRight w:val="0"/>
          <w:marTop w:val="0"/>
          <w:marBottom w:val="0"/>
          <w:divBdr>
            <w:top w:val="none" w:sz="0" w:space="0" w:color="auto"/>
            <w:left w:val="none" w:sz="0" w:space="0" w:color="auto"/>
            <w:bottom w:val="none" w:sz="0" w:space="0" w:color="auto"/>
            <w:right w:val="none" w:sz="0" w:space="0" w:color="auto"/>
          </w:divBdr>
        </w:div>
        <w:div w:id="1881431773">
          <w:marLeft w:val="0"/>
          <w:marRight w:val="0"/>
          <w:marTop w:val="0"/>
          <w:marBottom w:val="0"/>
          <w:divBdr>
            <w:top w:val="none" w:sz="0" w:space="0" w:color="auto"/>
            <w:left w:val="none" w:sz="0" w:space="0" w:color="auto"/>
            <w:bottom w:val="none" w:sz="0" w:space="0" w:color="auto"/>
            <w:right w:val="none" w:sz="0" w:space="0" w:color="auto"/>
          </w:divBdr>
        </w:div>
        <w:div w:id="1855260294">
          <w:marLeft w:val="0"/>
          <w:marRight w:val="0"/>
          <w:marTop w:val="0"/>
          <w:marBottom w:val="0"/>
          <w:divBdr>
            <w:top w:val="none" w:sz="0" w:space="0" w:color="auto"/>
            <w:left w:val="none" w:sz="0" w:space="0" w:color="auto"/>
            <w:bottom w:val="none" w:sz="0" w:space="0" w:color="auto"/>
            <w:right w:val="none" w:sz="0" w:space="0" w:color="auto"/>
          </w:divBdr>
        </w:div>
        <w:div w:id="1445727517">
          <w:marLeft w:val="0"/>
          <w:marRight w:val="0"/>
          <w:marTop w:val="0"/>
          <w:marBottom w:val="0"/>
          <w:divBdr>
            <w:top w:val="none" w:sz="0" w:space="0" w:color="auto"/>
            <w:left w:val="none" w:sz="0" w:space="0" w:color="auto"/>
            <w:bottom w:val="none" w:sz="0" w:space="0" w:color="auto"/>
            <w:right w:val="none" w:sz="0" w:space="0" w:color="auto"/>
          </w:divBdr>
        </w:div>
        <w:div w:id="201402108">
          <w:marLeft w:val="0"/>
          <w:marRight w:val="0"/>
          <w:marTop w:val="0"/>
          <w:marBottom w:val="0"/>
          <w:divBdr>
            <w:top w:val="none" w:sz="0" w:space="0" w:color="auto"/>
            <w:left w:val="none" w:sz="0" w:space="0" w:color="auto"/>
            <w:bottom w:val="none" w:sz="0" w:space="0" w:color="auto"/>
            <w:right w:val="none" w:sz="0" w:space="0" w:color="auto"/>
          </w:divBdr>
        </w:div>
      </w:divsChild>
    </w:div>
    <w:div w:id="492187339">
      <w:bodyDiv w:val="1"/>
      <w:marLeft w:val="0"/>
      <w:marRight w:val="0"/>
      <w:marTop w:val="0"/>
      <w:marBottom w:val="0"/>
      <w:divBdr>
        <w:top w:val="none" w:sz="0" w:space="0" w:color="auto"/>
        <w:left w:val="none" w:sz="0" w:space="0" w:color="auto"/>
        <w:bottom w:val="none" w:sz="0" w:space="0" w:color="auto"/>
        <w:right w:val="none" w:sz="0" w:space="0" w:color="auto"/>
      </w:divBdr>
    </w:div>
    <w:div w:id="945818481">
      <w:bodyDiv w:val="1"/>
      <w:marLeft w:val="0"/>
      <w:marRight w:val="0"/>
      <w:marTop w:val="0"/>
      <w:marBottom w:val="0"/>
      <w:divBdr>
        <w:top w:val="none" w:sz="0" w:space="0" w:color="auto"/>
        <w:left w:val="none" w:sz="0" w:space="0" w:color="auto"/>
        <w:bottom w:val="none" w:sz="0" w:space="0" w:color="auto"/>
        <w:right w:val="none" w:sz="0" w:space="0" w:color="auto"/>
      </w:divBdr>
    </w:div>
    <w:div w:id="1036855157">
      <w:bodyDiv w:val="1"/>
      <w:marLeft w:val="0"/>
      <w:marRight w:val="0"/>
      <w:marTop w:val="0"/>
      <w:marBottom w:val="0"/>
      <w:divBdr>
        <w:top w:val="none" w:sz="0" w:space="0" w:color="auto"/>
        <w:left w:val="none" w:sz="0" w:space="0" w:color="auto"/>
        <w:bottom w:val="none" w:sz="0" w:space="0" w:color="auto"/>
        <w:right w:val="none" w:sz="0" w:space="0" w:color="auto"/>
      </w:divBdr>
    </w:div>
    <w:div w:id="1228761131">
      <w:bodyDiv w:val="1"/>
      <w:marLeft w:val="0"/>
      <w:marRight w:val="0"/>
      <w:marTop w:val="0"/>
      <w:marBottom w:val="0"/>
      <w:divBdr>
        <w:top w:val="none" w:sz="0" w:space="0" w:color="auto"/>
        <w:left w:val="none" w:sz="0" w:space="0" w:color="auto"/>
        <w:bottom w:val="none" w:sz="0" w:space="0" w:color="auto"/>
        <w:right w:val="none" w:sz="0" w:space="0" w:color="auto"/>
      </w:divBdr>
      <w:divsChild>
        <w:div w:id="1802528887">
          <w:marLeft w:val="0"/>
          <w:marRight w:val="0"/>
          <w:marTop w:val="0"/>
          <w:marBottom w:val="0"/>
          <w:divBdr>
            <w:top w:val="none" w:sz="0" w:space="0" w:color="auto"/>
            <w:left w:val="none" w:sz="0" w:space="0" w:color="auto"/>
            <w:bottom w:val="none" w:sz="0" w:space="0" w:color="auto"/>
            <w:right w:val="none" w:sz="0" w:space="0" w:color="auto"/>
          </w:divBdr>
          <w:divsChild>
            <w:div w:id="1342850115">
              <w:marLeft w:val="0"/>
              <w:marRight w:val="0"/>
              <w:marTop w:val="0"/>
              <w:marBottom w:val="0"/>
              <w:divBdr>
                <w:top w:val="none" w:sz="0" w:space="0" w:color="auto"/>
                <w:left w:val="none" w:sz="0" w:space="0" w:color="auto"/>
                <w:bottom w:val="none" w:sz="0" w:space="0" w:color="auto"/>
                <w:right w:val="none" w:sz="0" w:space="0" w:color="auto"/>
              </w:divBdr>
              <w:divsChild>
                <w:div w:id="697124711">
                  <w:marLeft w:val="0"/>
                  <w:marRight w:val="0"/>
                  <w:marTop w:val="0"/>
                  <w:marBottom w:val="0"/>
                  <w:divBdr>
                    <w:top w:val="none" w:sz="0" w:space="0" w:color="auto"/>
                    <w:left w:val="none" w:sz="0" w:space="0" w:color="auto"/>
                    <w:bottom w:val="none" w:sz="0" w:space="0" w:color="auto"/>
                    <w:right w:val="none" w:sz="0" w:space="0" w:color="auto"/>
                  </w:divBdr>
                  <w:divsChild>
                    <w:div w:id="304169643">
                      <w:marLeft w:val="0"/>
                      <w:marRight w:val="0"/>
                      <w:marTop w:val="0"/>
                      <w:marBottom w:val="0"/>
                      <w:divBdr>
                        <w:top w:val="none" w:sz="0" w:space="0" w:color="auto"/>
                        <w:left w:val="none" w:sz="0" w:space="0" w:color="auto"/>
                        <w:bottom w:val="none" w:sz="0" w:space="0" w:color="auto"/>
                        <w:right w:val="none" w:sz="0" w:space="0" w:color="auto"/>
                      </w:divBdr>
                      <w:divsChild>
                        <w:div w:id="335573394">
                          <w:marLeft w:val="0"/>
                          <w:marRight w:val="0"/>
                          <w:marTop w:val="0"/>
                          <w:marBottom w:val="150"/>
                          <w:divBdr>
                            <w:top w:val="none" w:sz="0" w:space="0" w:color="auto"/>
                            <w:left w:val="none" w:sz="0" w:space="0" w:color="auto"/>
                            <w:bottom w:val="single" w:sz="6" w:space="0" w:color="B8B8B8"/>
                            <w:right w:val="none" w:sz="0" w:space="0" w:color="auto"/>
                          </w:divBdr>
                          <w:divsChild>
                            <w:div w:id="3702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279117">
      <w:bodyDiv w:val="1"/>
      <w:marLeft w:val="0"/>
      <w:marRight w:val="0"/>
      <w:marTop w:val="0"/>
      <w:marBottom w:val="0"/>
      <w:divBdr>
        <w:top w:val="none" w:sz="0" w:space="0" w:color="auto"/>
        <w:left w:val="none" w:sz="0" w:space="0" w:color="auto"/>
        <w:bottom w:val="none" w:sz="0" w:space="0" w:color="auto"/>
        <w:right w:val="none" w:sz="0" w:space="0" w:color="auto"/>
      </w:divBdr>
    </w:div>
    <w:div w:id="1659653886">
      <w:bodyDiv w:val="1"/>
      <w:marLeft w:val="0"/>
      <w:marRight w:val="0"/>
      <w:marTop w:val="0"/>
      <w:marBottom w:val="0"/>
      <w:divBdr>
        <w:top w:val="none" w:sz="0" w:space="0" w:color="auto"/>
        <w:left w:val="none" w:sz="0" w:space="0" w:color="auto"/>
        <w:bottom w:val="none" w:sz="0" w:space="0" w:color="auto"/>
        <w:right w:val="none" w:sz="0" w:space="0" w:color="auto"/>
      </w:divBdr>
    </w:div>
    <w:div w:id="1804082776">
      <w:bodyDiv w:val="1"/>
      <w:marLeft w:val="0"/>
      <w:marRight w:val="0"/>
      <w:marTop w:val="0"/>
      <w:marBottom w:val="0"/>
      <w:divBdr>
        <w:top w:val="none" w:sz="0" w:space="0" w:color="auto"/>
        <w:left w:val="none" w:sz="0" w:space="0" w:color="auto"/>
        <w:bottom w:val="none" w:sz="0" w:space="0" w:color="auto"/>
        <w:right w:val="none" w:sz="0" w:space="0" w:color="auto"/>
      </w:divBdr>
    </w:div>
    <w:div w:id="18535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uy.d.nguyen@nielsen.com" TargetMode="External"/><Relationship Id="rId4" Type="http://schemas.microsoft.com/office/2007/relationships/stylesWithEffects" Target="stylesWithEffects.xml"/><Relationship Id="rId9" Type="http://schemas.openxmlformats.org/officeDocument/2006/relationships/hyperlink" Target="mailto:Van.l.tran@nielsen.com" TargetMode="External"/><Relationship Id="rId14" Type="http://schemas.openxmlformats.org/officeDocument/2006/relationships/hyperlink" Target="http://www.niels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E07A7-2C28-4E64-911B-588BB339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Nielsen</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Martija, Liza</dc:creator>
  <cp:lastModifiedBy>Nguyen, Doan Phuoc Duy</cp:lastModifiedBy>
  <cp:revision>78</cp:revision>
  <dcterms:created xsi:type="dcterms:W3CDTF">2017-04-19T07:42:00Z</dcterms:created>
  <dcterms:modified xsi:type="dcterms:W3CDTF">2017-12-05T02:09:00Z</dcterms:modified>
</cp:coreProperties>
</file>